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1300"/>
        <w:gridCol w:w="1280"/>
        <w:gridCol w:w="266"/>
        <w:gridCol w:w="1134"/>
        <w:gridCol w:w="280"/>
        <w:gridCol w:w="145"/>
        <w:gridCol w:w="1155"/>
        <w:gridCol w:w="263"/>
        <w:gridCol w:w="1028"/>
        <w:gridCol w:w="9"/>
        <w:gridCol w:w="1300"/>
        <w:gridCol w:w="781"/>
      </w:tblGrid>
      <w:tr w:rsidR="00CE3C63" w:rsidRPr="00173906" w:rsidTr="00493BC1">
        <w:trPr>
          <w:trHeight w:val="29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4866C6" w:rsidP="00CE3C6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</w:pPr>
            <w:bookmarkStart w:id="0" w:name="_GoBack"/>
            <w:bookmarkEnd w:id="0"/>
            <w:r w:rsidRPr="004866C6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77.25pt;margin-top:-72.5pt;width:328.0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AeEQIAAPsDAAAOAAAAZHJzL2Uyb0RvYy54bWysU11v2yAUfZ+0/4B4X+ykTppYcaouXadJ&#10;3YfU7QcQwDEacBmQ2N2v7wWnabS9TfMDAt97z73ncFjfDEaTo/RBgW3odFJSIi0Hoey+oT++379b&#10;UhIis4JpsLKhTzLQm83bN+ve1XIGHWghPUEQG+reNbSL0dVFEXgnDQsTcNJisAVvWMSj3xfCsx7R&#10;jS5mZbkoevDCeeAyBPx7NwbpJuO3reTxa9sGGYluKM4W8+rzuktrsVmzeu+Z6xQ/jcH+YQrDlMWm&#10;Z6g7Fhk5ePUXlFHcQ4A2TjiYAtpWcZk5IJtp+Qebx445mbmgOMGdZQr/D5Z/OX7zRImGXpXXlFhm&#10;8JK2ByY8ECFJlEMEMksy9S7UmP3oMD8O72HA686Ug3sA/jMQC9uO2b289R76TjKBY05TZXFROuKE&#10;BLLrP4PAbuwQIQMNrTdJQ1SFIDpe19P5inAOwvFnNV0squUVJRxjq3JRVavcgtUv1c6H+FGCIWnT&#10;UI8WyOjs+BBimobVLympmYV7pXW2gbakR9D5bJ4LLiJGRXSpVqahyzJ9o28SyQ9W5OLIlB732EDb&#10;E+tEdKQch92AiUmKHYgn5O9hdCO+Htx04H9T0qMTGxp+HZiXlOhPFjVcTasqWTcfqvn1DA/+MrK7&#10;jDDLEaqhkZJxu43Z7iPXW9S6VVmG10lOs6LDsjqn15AsfHnOWa9vdvMMAAD//wMAUEsDBBQABgAI&#10;AAAAIQB1cdkR3wAAAAwBAAAPAAAAZHJzL2Rvd25yZXYueG1sTI/BTsMwDIbvSHuHyJO4bUm3doLS&#10;dEIgriDGhsQta7y2onGqJlvL2+Od4Gj70+/vL7aT68QFh9B60pAsFQikytuWag37j5fFHYgQDVnT&#10;eUINPxhgW85uCpNbP9I7XnaxFhxCITcamhj7XMpQNehMWPoeiW8nPzgTeRxqaQczcrjr5EqpjXSm&#10;Jf7QmB6fGqy+d2en4fB6+vpM1Vv97LJ+9JOS5O6l1rfz6fEBRMQp/sFw1Wd1KNnp6M9kg+g0rLM0&#10;Y1TDIkkzbnVFVKI2II68W61BloX8X6L8BQAA//8DAFBLAQItABQABgAIAAAAIQC2gziS/gAAAOEB&#10;AAATAAAAAAAAAAAAAAAAAAAAAABbQ29udGVudF9UeXBlc10ueG1sUEsBAi0AFAAGAAgAAAAhADj9&#10;If/WAAAAlAEAAAsAAAAAAAAAAAAAAAAALwEAAF9yZWxzLy5yZWxzUEsBAi0AFAAGAAgAAAAhAHiu&#10;8B4RAgAA+wMAAA4AAAAAAAAAAAAAAAAALgIAAGRycy9lMm9Eb2MueG1sUEsBAi0AFAAGAAgAAAAh&#10;AHVx2RHfAAAADAEAAA8AAAAAAAAAAAAAAAAAawQAAGRycy9kb3ducmV2LnhtbFBLBQYAAAAABAAE&#10;APMAAAB3BQAAAAA=&#10;" filled="f" stroked="f">
                  <v:textbox>
                    <w:txbxContent>
                      <w:p w:rsidR="00546D92" w:rsidRPr="00173906" w:rsidRDefault="00173906" w:rsidP="00546D92">
                        <w:pPr>
                          <w:pStyle w:val="Nessunaspaziatura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173906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  <w:t>ADDITIONAL SERVICES</w:t>
                        </w:r>
                      </w:p>
                      <w:p w:rsidR="00A25331" w:rsidRPr="00173906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Please send email to:</w:t>
                        </w:r>
                      </w:p>
                      <w:p w:rsidR="00A25331" w:rsidRPr="00AE40B4" w:rsidRDefault="00AE40B4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Cartagena </w:t>
                        </w:r>
                        <w:proofErr w:type="spellStart"/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Mágica</w:t>
                        </w:r>
                        <w:proofErr w:type="spellEnd"/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 Business Group</w:t>
                        </w:r>
                        <w:r w:rsidR="00A25331"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- Customer / Exhibitor Service </w:t>
                        </w:r>
                      </w:p>
                      <w:p w:rsidR="00A25331" w:rsidRPr="00173906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Cartagena de Indias - Colombia.</w:t>
                        </w:r>
                      </w:p>
                      <w:p w:rsidR="00A25331" w:rsidRPr="000E27E2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0E27E2"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  <w:t>E.m</w:t>
                        </w:r>
                        <w:r w:rsidR="00AE40B4" w:rsidRPr="000E27E2"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  <w:t>ail</w:t>
                        </w:r>
                        <w:proofErr w:type="spellEnd"/>
                        <w:r w:rsidR="00AE40B4" w:rsidRPr="000E27E2"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  <w:t>: info@cartagenamagica.com.co</w:t>
                        </w:r>
                      </w:p>
                      <w:p w:rsidR="00FA0617" w:rsidRPr="000E27E2" w:rsidRDefault="00FA0617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="00173906" w:rsidRPr="00173906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NAME OF THE EVENT:</w:t>
            </w:r>
            <w:r w:rsidR="000E27E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 Interpol 82nd General Assemby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DATE: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21-24/10/2013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STAND #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13</w:t>
            </w:r>
          </w:p>
          <w:p w:rsidR="000E27E2" w:rsidRPr="00173906" w:rsidRDefault="000E27E2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CE3C63" w:rsidRPr="00173906" w:rsidTr="00493BC1">
        <w:trPr>
          <w:trHeight w:val="29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EXHIBITOR: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HT SRL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EXHIBITION HALL:</w:t>
            </w:r>
          </w:p>
        </w:tc>
        <w:tc>
          <w:tcPr>
            <w:tcW w:w="2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</w:p>
        </w:tc>
      </w:tr>
      <w:tr w:rsidR="00173906" w:rsidRPr="00173906" w:rsidTr="00493BC1">
        <w:trPr>
          <w:trHeight w:val="2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ADDRESS:</w:t>
            </w:r>
          </w:p>
          <w:p w:rsidR="000E27E2" w:rsidRDefault="000E27E2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</w:p>
          <w:p w:rsidR="000E27E2" w:rsidRPr="00173906" w:rsidRDefault="000E27E2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VIA MOSCOVA 13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3906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CITY</w:t>
            </w:r>
          </w:p>
          <w:p w:rsidR="00173906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</w:p>
          <w:p w:rsidR="00173906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MILAN 20121</w:t>
            </w:r>
          </w:p>
        </w:tc>
      </w:tr>
      <w:tr w:rsidR="00CE3C63" w:rsidRPr="00173906" w:rsidTr="00493BC1">
        <w:trPr>
          <w:trHeight w:val="2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TEL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EPHONE: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+39 02.29.06.06.03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FAX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:</w:t>
            </w:r>
            <w:r w:rsidR="000E27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+39 </w:t>
            </w:r>
            <w:r w:rsidR="0039241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02.63.11.89.46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39241E" w:rsidRDefault="00CE3C63" w:rsidP="00CE3C6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E-MAIL </w:t>
            </w:r>
            <w:hyperlink r:id="rId7" w:history="1">
              <w:r w:rsidR="0039241E" w:rsidRPr="00EB520E">
                <w:rPr>
                  <w:rStyle w:val="Collegamentoipertestuale"/>
                  <w:rFonts w:ascii="Century Gothic" w:eastAsia="Times New Roman" w:hAnsi="Century Gothic" w:cs="Calibri"/>
                  <w:sz w:val="16"/>
                  <w:szCs w:val="16"/>
                  <w:lang w:val="en-US" w:eastAsia="es-CO"/>
                </w:rPr>
                <w:t>m.bettini</w:t>
              </w:r>
              <w:r w:rsidR="0039241E" w:rsidRPr="0039241E">
                <w:rPr>
                  <w:rStyle w:val="Collegamentoipertestuale"/>
                  <w:rFonts w:ascii="Century Gothic" w:hAnsi="Century Gothic"/>
                  <w:sz w:val="16"/>
                  <w:szCs w:val="16"/>
                  <w:lang w:val="en-US"/>
                </w:rPr>
                <w:t>@hackingteam.it</w:t>
              </w:r>
            </w:hyperlink>
            <w:r w:rsidR="0039241E" w:rsidRPr="0039241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39241E" w:rsidRPr="0039241E" w:rsidRDefault="0039241E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            </w:t>
            </w:r>
            <w:hyperlink r:id="rId8" w:history="1">
              <w:r w:rsidRPr="00EB520E">
                <w:rPr>
                  <w:rStyle w:val="Collegamentoipertestuale"/>
                  <w:rFonts w:ascii="Century Gothic" w:eastAsia="Times New Roman" w:hAnsi="Century Gothic" w:cs="Calibri"/>
                  <w:sz w:val="16"/>
                  <w:szCs w:val="16"/>
                  <w:lang w:val="en-US" w:eastAsia="es-CO"/>
                </w:rPr>
                <w:t>s.gallucci</w:t>
              </w:r>
              <w:r w:rsidRPr="00EB520E">
                <w:rPr>
                  <w:rStyle w:val="Collegamentoipertestuale"/>
                  <w:rFonts w:ascii="Century Gothic" w:hAnsi="Century Gothic"/>
                  <w:sz w:val="16"/>
                  <w:szCs w:val="16"/>
                  <w:lang w:val="it-IT"/>
                </w:rPr>
                <w:t>@hackingteam.it</w:t>
              </w:r>
            </w:hyperlink>
            <w:r>
              <w:rPr>
                <w:rFonts w:ascii="Century Gothic" w:hAnsi="Century Gothic"/>
                <w:sz w:val="16"/>
                <w:szCs w:val="16"/>
                <w:lang w:val="it-IT"/>
              </w:rPr>
              <w:t xml:space="preserve"> </w:t>
            </w:r>
          </w:p>
        </w:tc>
      </w:tr>
      <w:tr w:rsidR="00CE3C63" w:rsidRPr="00173906" w:rsidTr="00493BC1">
        <w:trPr>
          <w:trHeight w:val="295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39241E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</w:pPr>
            <w:r w:rsidRPr="0039241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  <w:t>CONTACT:</w:t>
            </w:r>
            <w:r w:rsidR="0039241E" w:rsidRPr="0039241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  <w:t xml:space="preserve"> MARCO BETTINI / SIMONETTA GALLUCCI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SIGNED:</w:t>
            </w:r>
          </w:p>
        </w:tc>
      </w:tr>
      <w:tr w:rsidR="00CE3C63" w:rsidRPr="00493BC1" w:rsidTr="00493BC1">
        <w:trPr>
          <w:trHeight w:val="1013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E346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IMPORTANT: 1) In line with the procedures a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nd policies of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</w:t>
            </w: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these services need to be paid for in advance. 2) All services required need to be confirmed 5 days before the event begins. 3) In lin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e with the policies of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</w:t>
            </w: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food and drink cannot be brought in to the convention centre. Likewise no food and drink ca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 be taken out. 4)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maintains its right of entry for all external services and equipment and will charge an additional 30% for equipment and services used by exhibito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rs that are not provided by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.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Right of Entry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Equipment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Unit Value</w:t>
            </w:r>
            <w:r w:rsidR="00AE40B4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 xml:space="preserve"> USD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Quantity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Total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LED-LCD-Plasma from 32"upwards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9241E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1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9241E" w:rsidP="007449B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$ </w:t>
            </w:r>
            <w:r w:rsidR="007449B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176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Printer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Video Camera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Video Wall with and without border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93BC1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Exhibitor incentive: 3X2 package - for every 3 stands by a single exhibitor in the event, they will only be charged for 2. Equipment for the third stand is free. Note: Everything related to Food &amp; Drink is required to pay "right of entry" fees. </w:t>
            </w:r>
          </w:p>
        </w:tc>
      </w:tr>
      <w:tr w:rsidR="00AA7C99" w:rsidRPr="00493BC1" w:rsidTr="00493BC1">
        <w:trPr>
          <w:gridAfter w:val="1"/>
          <w:wAfter w:w="781" w:type="dxa"/>
          <w:trHeight w:val="285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Other Services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Internet Password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Audiovisual Equipment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PLASMA7LCD 42"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$ 141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47"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55"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60"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 Computer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Audiovisual Combos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9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Monitor LCD/42" Plasma de + Stand + cable,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Otional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DVD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$ 156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5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LED/LCD DE 47" + Stand + Cable VGA, Optional 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8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 - Core Duo, 4 GB RAM, 250 HDD, CD-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DVDr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,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WiFi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, 15" screen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Cable VGA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Additional Services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Water Dispenser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93BC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Includes a packet of plastic cups.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 </w:t>
            </w:r>
          </w:p>
        </w:tc>
      </w:tr>
      <w:tr w:rsidR="00AA7C99" w:rsidRPr="007762D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Shaved Ice Cart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$1.50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/uni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93BC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Price can be clarified on request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7762D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Tea Machine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$ 1.60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93BC1" w:rsidTr="00493BC1">
        <w:trPr>
          <w:gridAfter w:val="1"/>
          <w:wAfter w:w="781" w:type="dxa"/>
          <w:trHeight w:val="48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12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capacity. Price subject to request. Does not include the price of an operator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Slush Machine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$88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/ machine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95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24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litre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capacity. Price subject to request. Does not include the price of an operator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99" w:rsidRPr="00AA7C99" w:rsidRDefault="007762D1" w:rsidP="00CE311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$2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/ 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25"/>
        </w:trPr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Coffee Machine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CE3113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Price per cup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Capuccino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Mokaccino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Traditional Coffee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$ 1.70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Packet of cups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93BC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9 oz x 50 cups (varied sizes)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Freezer for ice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lollies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EB5E31" w:rsidP="00CE311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$1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/uni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Mini-Samsung fridge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EB5E3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SUB-TOTAL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C87D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39241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$</w:t>
            </w:r>
            <w:r w:rsidR="007449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C87D1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171.60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16% VAT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7449B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39241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 xml:space="preserve">$ </w:t>
            </w:r>
            <w:r w:rsidR="007449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2</w:t>
            </w:r>
            <w:r w:rsidR="00C87D1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7.46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Total: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000BF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39241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 xml:space="preserve">$ </w:t>
            </w:r>
            <w:r w:rsidR="00C87D1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199.06</w:t>
            </w:r>
          </w:p>
        </w:tc>
      </w:tr>
      <w:tr w:rsidR="00AA7C99" w:rsidRPr="00AA7C99" w:rsidTr="00493BC1">
        <w:trPr>
          <w:gridAfter w:val="1"/>
          <w:wAfter w:w="781" w:type="dxa"/>
          <w:trHeight w:val="1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Payment Options: </w:t>
            </w:r>
          </w:p>
        </w:tc>
      </w:tr>
      <w:tr w:rsidR="00AA7C99" w:rsidRPr="00AA7C99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AA7C99" w:rsidRPr="00493BC1" w:rsidTr="00493BC1">
        <w:trPr>
          <w:gridAfter w:val="1"/>
          <w:wAfter w:w="781" w:type="dxa"/>
          <w:trHeight w:val="28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Option 1: Credit Card: Send a copy of the credit card (both sides), photocopy of your ID and a signed copy of the credit card payment authorization form. </w:t>
            </w:r>
          </w:p>
        </w:tc>
      </w:tr>
      <w:tr w:rsidR="00AA7C99" w:rsidRPr="00493BC1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493BC1" w:rsidTr="00493BC1">
        <w:trPr>
          <w:gridAfter w:val="1"/>
          <w:wAfter w:w="781" w:type="dxa"/>
          <w:trHeight w:val="28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Option 2: Bank Transfer: Depo</w:t>
            </w:r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sit the money in the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Banco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DAVIVIENDA current account No. 057069994879</w:t>
            </w: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Account Name: Cartagena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Mágica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Bg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SA.  </w:t>
            </w: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Send a photocopy of the deposit slip to confirm your request.</w:t>
            </w:r>
          </w:p>
        </w:tc>
      </w:tr>
      <w:tr w:rsidR="00AA7C99" w:rsidRPr="00493BC1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</w:tbl>
    <w:p w:rsidR="00AA7C99" w:rsidRPr="00AA7C99" w:rsidRDefault="00AA7C99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sectPr w:rsidR="00173906" w:rsidRPr="00173906" w:rsidSect="00203A59">
      <w:headerReference w:type="default" r:id="rId9"/>
      <w:pgSz w:w="12240" w:h="15840"/>
      <w:pgMar w:top="1985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76" w:rsidRDefault="00571576" w:rsidP="00AE40B4">
      <w:pPr>
        <w:spacing w:after="0" w:line="240" w:lineRule="auto"/>
      </w:pPr>
      <w:r>
        <w:separator/>
      </w:r>
    </w:p>
  </w:endnote>
  <w:endnote w:type="continuationSeparator" w:id="0">
    <w:p w:rsidR="00571576" w:rsidRDefault="00571576" w:rsidP="00A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76" w:rsidRDefault="00571576" w:rsidP="00AE40B4">
      <w:pPr>
        <w:spacing w:after="0" w:line="240" w:lineRule="auto"/>
      </w:pPr>
      <w:r>
        <w:separator/>
      </w:r>
    </w:p>
  </w:footnote>
  <w:footnote w:type="continuationSeparator" w:id="0">
    <w:p w:rsidR="00571576" w:rsidRDefault="00571576" w:rsidP="00A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B4" w:rsidRDefault="00AE40B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924215" cy="10336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34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3C63"/>
    <w:rsid w:val="00000BF8"/>
    <w:rsid w:val="000E27E2"/>
    <w:rsid w:val="000E374C"/>
    <w:rsid w:val="00173906"/>
    <w:rsid w:val="001B78DB"/>
    <w:rsid w:val="00203A59"/>
    <w:rsid w:val="0021068E"/>
    <w:rsid w:val="00242622"/>
    <w:rsid w:val="0029194C"/>
    <w:rsid w:val="002A4734"/>
    <w:rsid w:val="0031397B"/>
    <w:rsid w:val="0039241E"/>
    <w:rsid w:val="003B3C20"/>
    <w:rsid w:val="003C261D"/>
    <w:rsid w:val="003E2D0C"/>
    <w:rsid w:val="00437270"/>
    <w:rsid w:val="00450119"/>
    <w:rsid w:val="004866C6"/>
    <w:rsid w:val="00493BC1"/>
    <w:rsid w:val="00503684"/>
    <w:rsid w:val="00546D92"/>
    <w:rsid w:val="00571576"/>
    <w:rsid w:val="00681758"/>
    <w:rsid w:val="007449B6"/>
    <w:rsid w:val="007459BE"/>
    <w:rsid w:val="007762D1"/>
    <w:rsid w:val="007F614F"/>
    <w:rsid w:val="00940B91"/>
    <w:rsid w:val="009F5A8F"/>
    <w:rsid w:val="00A25331"/>
    <w:rsid w:val="00A53B1C"/>
    <w:rsid w:val="00A91ABE"/>
    <w:rsid w:val="00AA7C99"/>
    <w:rsid w:val="00AE40B4"/>
    <w:rsid w:val="00BD7E0B"/>
    <w:rsid w:val="00C87D15"/>
    <w:rsid w:val="00C9210A"/>
    <w:rsid w:val="00CA1CD0"/>
    <w:rsid w:val="00CE3113"/>
    <w:rsid w:val="00CE3C63"/>
    <w:rsid w:val="00D72769"/>
    <w:rsid w:val="00D81ECD"/>
    <w:rsid w:val="00D9752D"/>
    <w:rsid w:val="00DD3527"/>
    <w:rsid w:val="00E34648"/>
    <w:rsid w:val="00EB5E31"/>
    <w:rsid w:val="00EE01B8"/>
    <w:rsid w:val="00F45A2F"/>
    <w:rsid w:val="00F832B0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46D9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A06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0B4"/>
  </w:style>
  <w:style w:type="paragraph" w:styleId="Pidipagina">
    <w:name w:val="footer"/>
    <w:basedOn w:val="Normale"/>
    <w:link w:val="PidipaginaCarattere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6D9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A06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0B4"/>
  </w:style>
  <w:style w:type="paragraph" w:styleId="Piedepgina">
    <w:name w:val="footer"/>
    <w:basedOn w:val="Normal"/>
    <w:link w:val="PiedepginaCar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llucci@hackingte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ettini@hackingteam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DE27-E121-4CA6-9216-EB2FDDE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Simonetta Gallucci</cp:lastModifiedBy>
  <cp:revision>2</cp:revision>
  <cp:lastPrinted>2013-08-23T14:40:00Z</cp:lastPrinted>
  <dcterms:created xsi:type="dcterms:W3CDTF">2013-08-23T15:17:00Z</dcterms:created>
  <dcterms:modified xsi:type="dcterms:W3CDTF">2013-08-23T15:17:00Z</dcterms:modified>
</cp:coreProperties>
</file>