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18" w:rsidRDefault="00310318" w:rsidP="00310318"/>
    <w:p w:rsidR="0082789D" w:rsidRDefault="0082789D" w:rsidP="00310318">
      <w:pPr>
        <w:rPr>
          <w:b/>
          <w:i/>
        </w:rPr>
      </w:pPr>
    </w:p>
    <w:p w:rsidR="00310318" w:rsidRDefault="00310318" w:rsidP="00310318">
      <w:pPr>
        <w:rPr>
          <w:b/>
          <w:i/>
        </w:rPr>
      </w:pPr>
      <w:r>
        <w:rPr>
          <w:b/>
          <w:i/>
        </w:rPr>
        <w:t>Oggetto: 2° Simposio</w:t>
      </w:r>
      <w:r w:rsidRPr="000708FA">
        <w:rPr>
          <w:b/>
          <w:i/>
        </w:rPr>
        <w:t xml:space="preserve"> sulla Cyber Defence</w:t>
      </w:r>
      <w:r>
        <w:rPr>
          <w:b/>
          <w:i/>
        </w:rPr>
        <w:t>.</w:t>
      </w:r>
    </w:p>
    <w:p w:rsidR="00310318" w:rsidRDefault="00310318" w:rsidP="00310318">
      <w:pPr>
        <w:rPr>
          <w:b/>
          <w:i/>
        </w:rPr>
      </w:pPr>
    </w:p>
    <w:p w:rsidR="00310318" w:rsidRPr="00E06244" w:rsidRDefault="00310318" w:rsidP="00310318">
      <w:pPr>
        <w:ind w:firstLine="567"/>
        <w:jc w:val="both"/>
        <w:rPr>
          <w:b/>
          <w:i/>
        </w:rPr>
      </w:pPr>
      <w:r w:rsidRPr="00B4203D">
        <w:rPr>
          <w:rFonts w:eastAsia="Times New Roman"/>
          <w:lang w:eastAsia="it-IT"/>
        </w:rPr>
        <w:t xml:space="preserve">Il 1° Simposio sulla Cyber Defence 2012 è stato organizzato dalla Scuola </w:t>
      </w:r>
      <w:r w:rsidR="004238F7">
        <w:rPr>
          <w:rFonts w:eastAsia="Times New Roman"/>
          <w:lang w:eastAsia="it-IT"/>
        </w:rPr>
        <w:t xml:space="preserve">TLC delle FF.AA. di Chiavari </w:t>
      </w:r>
      <w:r w:rsidRPr="00B4203D">
        <w:rPr>
          <w:rFonts w:eastAsia="Times New Roman"/>
          <w:lang w:eastAsia="it-IT"/>
        </w:rPr>
        <w:t>in occasione del 60ennale dell’Istituto e s</w:t>
      </w:r>
      <w:r>
        <w:rPr>
          <w:rFonts w:eastAsia="Times New Roman"/>
          <w:lang w:eastAsia="it-IT"/>
        </w:rPr>
        <w:t xml:space="preserve">i è svolto </w:t>
      </w:r>
      <w:r w:rsidR="004238F7" w:rsidRPr="00B4203D">
        <w:rPr>
          <w:rFonts w:eastAsia="Times New Roman"/>
          <w:lang w:eastAsia="it-IT"/>
        </w:rPr>
        <w:t>a Chiavari</w:t>
      </w:r>
      <w:r w:rsidR="004238F7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il giorno 16 maggio 2012</w:t>
      </w:r>
      <w:r w:rsidRPr="00B4203D">
        <w:rPr>
          <w:rFonts w:eastAsia="Times New Roman"/>
          <w:lang w:eastAsia="it-IT"/>
        </w:rPr>
        <w:t>. La scelta dell’argomento è stata legata al mandato, ricevuto dalla Scuola da parte dello S</w:t>
      </w:r>
      <w:r>
        <w:t xml:space="preserve">tato </w:t>
      </w:r>
      <w:r w:rsidRPr="00B3086F">
        <w:rPr>
          <w:rFonts w:eastAsia="Times New Roman"/>
          <w:lang w:eastAsia="it-IT"/>
        </w:rPr>
        <w:t>M</w:t>
      </w:r>
      <w:r>
        <w:t xml:space="preserve">aggiore della </w:t>
      </w:r>
      <w:r w:rsidRPr="00B3086F">
        <w:rPr>
          <w:rFonts w:eastAsia="Times New Roman"/>
          <w:lang w:eastAsia="it-IT"/>
        </w:rPr>
        <w:t>D</w:t>
      </w:r>
      <w:r>
        <w:t>ifesa,</w:t>
      </w:r>
      <w:r w:rsidRPr="00B4203D">
        <w:rPr>
          <w:rFonts w:eastAsia="Times New Roman"/>
          <w:lang w:eastAsia="it-IT"/>
        </w:rPr>
        <w:t xml:space="preserve"> di presiedere il G</w:t>
      </w:r>
      <w:r>
        <w:t xml:space="preserve">ruppo di </w:t>
      </w:r>
      <w:r w:rsidRPr="00B3086F">
        <w:rPr>
          <w:rFonts w:eastAsia="Times New Roman"/>
          <w:lang w:eastAsia="it-IT"/>
        </w:rPr>
        <w:t>L</w:t>
      </w:r>
      <w:r>
        <w:t>avoro</w:t>
      </w:r>
      <w:r w:rsidRPr="00B4203D">
        <w:rPr>
          <w:rFonts w:eastAsia="Times New Roman"/>
          <w:lang w:eastAsia="it-IT"/>
        </w:rPr>
        <w:t xml:space="preserve"> per la definizione delle attività legate alla formazione specialistica nell’area interforze in ottica </w:t>
      </w:r>
      <w:r w:rsidRPr="008A6C5C">
        <w:t>Net</w:t>
      </w:r>
      <w:r w:rsidRPr="00B4203D">
        <w:rPr>
          <w:rFonts w:eastAsia="Times New Roman"/>
          <w:lang w:eastAsia="it-IT"/>
        </w:rPr>
        <w:t>-</w:t>
      </w:r>
      <w:r w:rsidRPr="008A6C5C">
        <w:t>Centrica</w:t>
      </w:r>
      <w:r>
        <w:t>/Cyber</w:t>
      </w:r>
      <w:r w:rsidRPr="00B3086F">
        <w:rPr>
          <w:rFonts w:eastAsia="Times New Roman"/>
          <w:lang w:eastAsia="it-IT"/>
        </w:rPr>
        <w:t>, che ha già portato alla modifica del catalogo corsi 201</w:t>
      </w:r>
      <w:r>
        <w:t>3</w:t>
      </w:r>
      <w:r w:rsidRPr="00B3086F">
        <w:rPr>
          <w:rFonts w:eastAsia="Times New Roman"/>
          <w:lang w:eastAsia="it-IT"/>
        </w:rPr>
        <w:t xml:space="preserve"> della Scuola, alla definizione delle figure professionali della Cyber </w:t>
      </w:r>
      <w:r>
        <w:t>D</w:t>
      </w:r>
      <w:r w:rsidRPr="00B3086F">
        <w:rPr>
          <w:rFonts w:eastAsia="Times New Roman"/>
          <w:lang w:eastAsia="it-IT"/>
        </w:rPr>
        <w:t>efence</w:t>
      </w:r>
      <w:r w:rsidR="00CA7762">
        <w:rPr>
          <w:rFonts w:eastAsia="Times New Roman"/>
          <w:lang w:eastAsia="it-IT"/>
        </w:rPr>
        <w:t>,</w:t>
      </w:r>
      <w:r w:rsidR="00CA7762" w:rsidRPr="00B3086F">
        <w:rPr>
          <w:rFonts w:eastAsia="Times New Roman"/>
          <w:lang w:eastAsia="it-IT"/>
        </w:rPr>
        <w:t xml:space="preserve"> </w:t>
      </w:r>
      <w:r w:rsidRPr="00B3086F">
        <w:rPr>
          <w:rFonts w:eastAsia="Times New Roman"/>
          <w:lang w:eastAsia="it-IT"/>
        </w:rPr>
        <w:t xml:space="preserve">alla prossima definizione dell’iter formativo </w:t>
      </w:r>
      <w:r w:rsidR="004238F7">
        <w:rPr>
          <w:rFonts w:eastAsia="Times New Roman"/>
          <w:lang w:eastAsia="it-IT"/>
        </w:rPr>
        <w:t>di tali</w:t>
      </w:r>
      <w:r w:rsidRPr="00B3086F">
        <w:rPr>
          <w:rFonts w:eastAsia="Times New Roman"/>
          <w:lang w:eastAsia="it-IT"/>
        </w:rPr>
        <w:t xml:space="preserve"> figure </w:t>
      </w:r>
      <w:r w:rsidR="004238F7">
        <w:rPr>
          <w:rFonts w:eastAsia="Times New Roman"/>
          <w:lang w:eastAsia="it-IT"/>
        </w:rPr>
        <w:t>professionali</w:t>
      </w:r>
      <w:r w:rsidRPr="00B4203D">
        <w:rPr>
          <w:rFonts w:eastAsia="Times New Roman"/>
          <w:lang w:eastAsia="it-IT"/>
        </w:rPr>
        <w:t xml:space="preserve"> e all’apertura di due master universitari </w:t>
      </w:r>
      <w:r w:rsidR="004238F7">
        <w:rPr>
          <w:rFonts w:eastAsia="Times New Roman"/>
          <w:lang w:eastAsia="it-IT"/>
        </w:rPr>
        <w:t xml:space="preserve">di Cyber defence </w:t>
      </w:r>
      <w:r>
        <w:t>nel corrente Anno Accademico</w:t>
      </w:r>
      <w:r w:rsidR="004238F7">
        <w:t xml:space="preserve"> presso questo Istituto in collaborazione con l’università di Modena-Reggio Emilia</w:t>
      </w:r>
      <w:r>
        <w:t>.</w:t>
      </w:r>
    </w:p>
    <w:p w:rsidR="00310318" w:rsidRPr="00E06244" w:rsidRDefault="004238F7" w:rsidP="00310318">
      <w:pPr>
        <w:ind w:firstLine="567"/>
        <w:jc w:val="both"/>
        <w:rPr>
          <w:rFonts w:ascii="Times New Roman" w:hAnsi="Times New Roman"/>
          <w:szCs w:val="20"/>
        </w:rPr>
      </w:pPr>
      <w:r>
        <w:rPr>
          <w:rFonts w:eastAsia="Times New Roman"/>
          <w:lang w:eastAsia="it-IT"/>
        </w:rPr>
        <w:t>Allo scopo di</w:t>
      </w:r>
      <w:r w:rsidR="00310318" w:rsidRPr="00B4203D">
        <w:rPr>
          <w:rFonts w:eastAsia="Times New Roman"/>
          <w:lang w:eastAsia="it-IT"/>
        </w:rPr>
        <w:t xml:space="preserve"> dare ai frequentatori dei master</w:t>
      </w:r>
      <w:r w:rsidR="00310318">
        <w:rPr>
          <w:rFonts w:eastAsia="Times New Roman"/>
          <w:lang w:eastAsia="it-IT"/>
        </w:rPr>
        <w:t xml:space="preserve"> ed al personale della Difesa </w:t>
      </w:r>
      <w:r w:rsidR="00310318" w:rsidRPr="00B4203D">
        <w:rPr>
          <w:rFonts w:eastAsia="Times New Roman"/>
          <w:lang w:eastAsia="it-IT"/>
        </w:rPr>
        <w:t xml:space="preserve">un maggior contributo di pensiero e un contatto diretto con i responsabili degli ambiti istituzionali, industriali ed accademici coinvolti nella materia, </w:t>
      </w:r>
      <w:r w:rsidR="00310318">
        <w:t xml:space="preserve">considerato anche il molto positivo riscontro ottenuto lo scorso anno, </w:t>
      </w:r>
      <w:r w:rsidR="00310318" w:rsidRPr="00B4203D">
        <w:rPr>
          <w:rFonts w:eastAsia="Times New Roman"/>
          <w:lang w:eastAsia="it-IT"/>
        </w:rPr>
        <w:t>è intenzione di quest</w:t>
      </w:r>
      <w:r w:rsidR="00310318">
        <w:t>a Scuola</w:t>
      </w:r>
      <w:r w:rsidR="00310318" w:rsidRPr="00B4203D">
        <w:rPr>
          <w:rFonts w:eastAsia="Times New Roman"/>
          <w:lang w:eastAsia="it-IT"/>
        </w:rPr>
        <w:t xml:space="preserve"> organizzare un </w:t>
      </w:r>
      <w:r w:rsidR="00310318">
        <w:t xml:space="preserve">2° Simposio </w:t>
      </w:r>
      <w:r w:rsidR="00310318" w:rsidRPr="00B4203D">
        <w:rPr>
          <w:rFonts w:eastAsia="Times New Roman"/>
          <w:lang w:eastAsia="it-IT"/>
        </w:rPr>
        <w:t xml:space="preserve">sulla Cyber defence nel mese di maggio </w:t>
      </w:r>
      <w:r w:rsidR="00310318">
        <w:t>2013 secondo le seguenti modalità</w:t>
      </w:r>
      <w:r w:rsidR="00310318" w:rsidRPr="00B4203D">
        <w:rPr>
          <w:rFonts w:eastAsia="Times New Roman"/>
          <w:lang w:eastAsia="it-IT"/>
        </w:rPr>
        <w:t>:</w:t>
      </w:r>
    </w:p>
    <w:p w:rsidR="00310318" w:rsidRPr="00E06244" w:rsidRDefault="00310318" w:rsidP="00310318">
      <w:pPr>
        <w:jc w:val="both"/>
        <w:rPr>
          <w:lang w:eastAsia="it-IT"/>
        </w:rPr>
      </w:pPr>
    </w:p>
    <w:p w:rsidR="00310318" w:rsidRDefault="00310318" w:rsidP="00310318">
      <w:pPr>
        <w:ind w:right="276"/>
        <w:jc w:val="both"/>
      </w:pPr>
      <w:r>
        <w:t>Data di svolgimento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  <w:rPr>
          <w:lang w:eastAsia="it-IT"/>
        </w:rPr>
      </w:pPr>
      <w:r>
        <w:rPr>
          <w:lang w:eastAsia="it-IT"/>
        </w:rPr>
        <w:t>16 e 17 maggio 2013</w:t>
      </w:r>
    </w:p>
    <w:p w:rsidR="00310318" w:rsidRDefault="00310318" w:rsidP="00310318">
      <w:pPr>
        <w:ind w:right="276"/>
        <w:jc w:val="both"/>
      </w:pPr>
    </w:p>
    <w:p w:rsidR="00310318" w:rsidRDefault="00310318" w:rsidP="00310318">
      <w:pPr>
        <w:jc w:val="both"/>
        <w:rPr>
          <w:lang w:eastAsia="it-IT"/>
        </w:rPr>
      </w:pPr>
      <w:r>
        <w:rPr>
          <w:lang w:eastAsia="it-IT"/>
        </w:rPr>
        <w:t>Argomenti trattati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  <w:rPr>
          <w:lang w:eastAsia="it-IT"/>
        </w:rPr>
      </w:pPr>
      <w:r>
        <w:rPr>
          <w:lang w:eastAsia="it-IT"/>
        </w:rPr>
        <w:t>aspetti operativi della Cyber Defence il 16 maggio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  <w:rPr>
          <w:lang w:eastAsia="it-IT"/>
        </w:rPr>
      </w:pPr>
      <w:r>
        <w:rPr>
          <w:lang w:eastAsia="it-IT"/>
        </w:rPr>
        <w:t xml:space="preserve">aspetti forensi della Cyber Defence il 17 maggio (si prevede </w:t>
      </w:r>
      <w:r w:rsidR="00882CF6">
        <w:rPr>
          <w:lang w:eastAsia="it-IT"/>
        </w:rPr>
        <w:t xml:space="preserve">di ottenere dall’Ordine Forense Ligure </w:t>
      </w:r>
      <w:r>
        <w:rPr>
          <w:lang w:eastAsia="it-IT"/>
        </w:rPr>
        <w:t xml:space="preserve">il rilascio di Crediti Formativi Universitari per il personale </w:t>
      </w:r>
      <w:r w:rsidR="00882CF6">
        <w:rPr>
          <w:lang w:eastAsia="it-IT"/>
        </w:rPr>
        <w:t xml:space="preserve">partecipante con lo status di Studente Universitario </w:t>
      </w:r>
      <w:r>
        <w:rPr>
          <w:lang w:eastAsia="it-IT"/>
        </w:rPr>
        <w:t xml:space="preserve">o </w:t>
      </w:r>
      <w:r w:rsidR="00882CF6">
        <w:rPr>
          <w:lang w:eastAsia="it-IT"/>
        </w:rPr>
        <w:t>Laureato in materie Legali</w:t>
      </w:r>
      <w:r>
        <w:rPr>
          <w:lang w:eastAsia="it-IT"/>
        </w:rPr>
        <w:t>).</w:t>
      </w:r>
    </w:p>
    <w:p w:rsidR="00310318" w:rsidRDefault="00310318" w:rsidP="00310318">
      <w:pPr>
        <w:pStyle w:val="Testo1"/>
        <w:tabs>
          <w:tab w:val="left" w:pos="1134"/>
        </w:tabs>
        <w:spacing w:after="120"/>
        <w:ind w:left="0" w:right="276" w:firstLine="567"/>
        <w:rPr>
          <w:rFonts w:ascii="Cambria" w:hAnsi="Cambria"/>
          <w:szCs w:val="24"/>
        </w:rPr>
      </w:pPr>
    </w:p>
    <w:p w:rsidR="00310318" w:rsidRDefault="00310318" w:rsidP="00310318">
      <w:pPr>
        <w:jc w:val="both"/>
        <w:rPr>
          <w:lang w:eastAsia="it-IT"/>
        </w:rPr>
      </w:pPr>
      <w:r>
        <w:rPr>
          <w:lang w:eastAsia="it-IT"/>
        </w:rPr>
        <w:t>Enti partecipanti dell’Amministrazione Difesa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</w:pPr>
      <w:r>
        <w:rPr>
          <w:lang w:eastAsia="it-IT"/>
        </w:rPr>
        <w:t>Stato Maggiore della Difesa II Rep (RIS, RIS CII, CEVA), III Rep. (CID), VI Rep. e C4D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</w:pPr>
      <w:r w:rsidRPr="00B4203D">
        <w:t xml:space="preserve">Segretariato Generale </w:t>
      </w:r>
      <w:r>
        <w:t>d</w:t>
      </w:r>
      <w:r w:rsidRPr="00B4203D">
        <w:t xml:space="preserve">ella Difesa/Direzione Nazionale degli Armamenti </w:t>
      </w:r>
      <w:r>
        <w:rPr>
          <w:lang w:eastAsia="it-IT"/>
        </w:rPr>
        <w:t>IV e V Reparto e Agenzie degli Armamenti delle FF.AA.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</w:pPr>
      <w:r>
        <w:rPr>
          <w:lang w:eastAsia="it-IT"/>
        </w:rPr>
        <w:t>Stati Maggiore delle quattro FF.AA. (Reparti TLC, Sicurezza e Informatica)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  <w:rPr>
          <w:lang w:eastAsia="it-IT"/>
        </w:rPr>
      </w:pPr>
      <w:r>
        <w:rPr>
          <w:lang w:eastAsia="it-IT"/>
        </w:rPr>
        <w:t>Ispettorato alle Scuole della Marina Militare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  <w:rPr>
          <w:lang w:eastAsia="it-IT"/>
        </w:rPr>
      </w:pPr>
      <w:r>
        <w:rPr>
          <w:lang w:eastAsia="it-IT"/>
        </w:rPr>
        <w:t>Centri Telecomunicazioni e Crittografici di F.A.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</w:pPr>
      <w:r>
        <w:rPr>
          <w:lang w:eastAsia="it-IT"/>
        </w:rPr>
        <w:t xml:space="preserve">Comando Generale </w:t>
      </w:r>
      <w:r w:rsidDel="006C37AB">
        <w:rPr>
          <w:lang w:eastAsia="it-IT"/>
        </w:rPr>
        <w:t xml:space="preserve"> </w:t>
      </w:r>
      <w:r>
        <w:rPr>
          <w:lang w:eastAsia="it-IT"/>
        </w:rPr>
        <w:t>Arma dei Carabinieri (Reparti TLC e Informatica) e RA.C.I.S.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  <w:rPr>
          <w:lang w:eastAsia="it-IT"/>
        </w:rPr>
      </w:pPr>
      <w:r>
        <w:rPr>
          <w:lang w:eastAsia="it-IT"/>
        </w:rPr>
        <w:t>Ministero dell’Interno – Comando della Polizia Postale e delle Comunicazioni</w:t>
      </w:r>
    </w:p>
    <w:p w:rsidR="00310318" w:rsidRDefault="00310318" w:rsidP="00310318">
      <w:pPr>
        <w:ind w:firstLine="708"/>
        <w:jc w:val="both"/>
        <w:rPr>
          <w:lang w:eastAsia="it-IT"/>
        </w:rPr>
      </w:pPr>
    </w:p>
    <w:p w:rsidR="00310318" w:rsidRDefault="00310318" w:rsidP="00310318">
      <w:pPr>
        <w:jc w:val="both"/>
        <w:rPr>
          <w:lang w:eastAsia="it-IT"/>
        </w:rPr>
      </w:pPr>
      <w:r>
        <w:rPr>
          <w:lang w:eastAsia="it-IT"/>
        </w:rPr>
        <w:t>Organizzazioni estere/internazionali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  <w:rPr>
          <w:lang w:eastAsia="it-IT"/>
        </w:rPr>
      </w:pPr>
      <w:r>
        <w:rPr>
          <w:lang w:eastAsia="it-IT"/>
        </w:rPr>
        <w:t>ONU</w:t>
      </w:r>
    </w:p>
    <w:p w:rsidR="00310318" w:rsidRPr="008758A8" w:rsidRDefault="00310318" w:rsidP="00310318">
      <w:pPr>
        <w:pStyle w:val="Paragrafoelenco"/>
        <w:numPr>
          <w:ilvl w:val="0"/>
          <w:numId w:val="5"/>
        </w:numPr>
        <w:jc w:val="both"/>
        <w:rPr>
          <w:lang w:val="en-US" w:eastAsia="it-IT"/>
        </w:rPr>
      </w:pPr>
      <w:r w:rsidRPr="00B3086F">
        <w:rPr>
          <w:lang w:val="en-US" w:eastAsia="it-IT"/>
        </w:rPr>
        <w:t>NATO (IS, IMS, NCIA, NCIRC)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  <w:rPr>
          <w:lang w:eastAsia="it-IT"/>
        </w:rPr>
      </w:pPr>
      <w:r>
        <w:rPr>
          <w:lang w:eastAsia="it-IT"/>
        </w:rPr>
        <w:t>N.C.I.S. ed altre agenzie U.S.A.</w:t>
      </w:r>
      <w:r w:rsidR="00295669">
        <w:rPr>
          <w:lang w:eastAsia="it-IT"/>
        </w:rPr>
        <w:t xml:space="preserve"> ed Internazionali</w:t>
      </w:r>
    </w:p>
    <w:p w:rsidR="004238F7" w:rsidRPr="004238F7" w:rsidRDefault="004238F7" w:rsidP="004238F7">
      <w:pPr>
        <w:pStyle w:val="Paragrafoelenco"/>
        <w:numPr>
          <w:ilvl w:val="0"/>
          <w:numId w:val="5"/>
        </w:numPr>
        <w:rPr>
          <w:lang w:val="en-US"/>
        </w:rPr>
      </w:pPr>
      <w:r w:rsidRPr="004238F7">
        <w:rPr>
          <w:lang w:val="en-US"/>
        </w:rPr>
        <w:t>E.U. – LISA European IT Agency</w:t>
      </w:r>
    </w:p>
    <w:p w:rsidR="004238F7" w:rsidRPr="004238F7" w:rsidRDefault="004238F7" w:rsidP="004238F7">
      <w:pPr>
        <w:ind w:left="360"/>
        <w:jc w:val="both"/>
        <w:rPr>
          <w:lang w:val="en-US" w:eastAsia="it-IT"/>
        </w:rPr>
      </w:pPr>
    </w:p>
    <w:p w:rsidR="00310318" w:rsidRPr="004238F7" w:rsidRDefault="00310318" w:rsidP="00310318">
      <w:pPr>
        <w:ind w:firstLine="708"/>
        <w:jc w:val="both"/>
        <w:rPr>
          <w:lang w:val="en-US" w:eastAsia="it-IT"/>
        </w:rPr>
      </w:pPr>
    </w:p>
    <w:p w:rsidR="00310318" w:rsidRDefault="00310318" w:rsidP="00310318">
      <w:pPr>
        <w:jc w:val="both"/>
      </w:pPr>
      <w:r>
        <w:rPr>
          <w:lang w:eastAsia="it-IT"/>
        </w:rPr>
        <w:t>Mondo accademico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  <w:rPr>
          <w:lang w:eastAsia="it-IT"/>
        </w:rPr>
      </w:pPr>
      <w:r>
        <w:rPr>
          <w:lang w:eastAsia="it-IT"/>
        </w:rPr>
        <w:t>Università di Modena e Reggio Emilia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  <w:rPr>
          <w:lang w:eastAsia="it-IT"/>
        </w:rPr>
      </w:pPr>
      <w:r>
        <w:rPr>
          <w:lang w:eastAsia="it-IT"/>
        </w:rPr>
        <w:t>Ordine Forense ligure</w:t>
      </w:r>
    </w:p>
    <w:p w:rsidR="00310318" w:rsidRDefault="00310318" w:rsidP="00310318">
      <w:pPr>
        <w:ind w:right="276"/>
        <w:jc w:val="both"/>
      </w:pPr>
    </w:p>
    <w:p w:rsidR="00310318" w:rsidRDefault="00310318" w:rsidP="00310318">
      <w:pPr>
        <w:ind w:right="276"/>
        <w:jc w:val="both"/>
      </w:pPr>
      <w:r>
        <w:t>Lingua del simposio</w:t>
      </w:r>
    </w:p>
    <w:p w:rsidR="00310318" w:rsidRDefault="00310318" w:rsidP="00310318">
      <w:pPr>
        <w:pStyle w:val="Paragrafoelenco"/>
        <w:numPr>
          <w:ilvl w:val="0"/>
          <w:numId w:val="5"/>
        </w:numPr>
        <w:jc w:val="both"/>
        <w:rPr>
          <w:lang w:eastAsia="it-IT"/>
        </w:rPr>
      </w:pPr>
      <w:r>
        <w:rPr>
          <w:lang w:eastAsia="it-IT"/>
        </w:rPr>
        <w:t>Italiano e Inglese</w:t>
      </w:r>
    </w:p>
    <w:p w:rsidR="00310318" w:rsidRDefault="00310318" w:rsidP="00310318">
      <w:pPr>
        <w:ind w:right="276"/>
        <w:jc w:val="both"/>
      </w:pPr>
    </w:p>
    <w:p w:rsidR="00310318" w:rsidRDefault="00310318" w:rsidP="00310318">
      <w:pPr>
        <w:ind w:right="276"/>
        <w:jc w:val="both"/>
      </w:pPr>
      <w:r>
        <w:t>Comitato scientifico</w:t>
      </w:r>
    </w:p>
    <w:p w:rsidR="00310318" w:rsidRDefault="00310318" w:rsidP="00310318">
      <w:pPr>
        <w:numPr>
          <w:ilvl w:val="0"/>
          <w:numId w:val="1"/>
        </w:numPr>
        <w:ind w:right="276"/>
        <w:jc w:val="both"/>
      </w:pPr>
      <w:r>
        <w:t>Panel sugli aspetti operativi della Cyber presieduto da un Ufficiale Generale dell’Aeronautica Militare (definizione del nominativo in corso)</w:t>
      </w:r>
    </w:p>
    <w:p w:rsidR="00310318" w:rsidRDefault="00310318" w:rsidP="00310318">
      <w:pPr>
        <w:numPr>
          <w:ilvl w:val="0"/>
          <w:numId w:val="1"/>
        </w:numPr>
        <w:ind w:right="276"/>
        <w:jc w:val="both"/>
      </w:pPr>
      <w:r>
        <w:t>Panel sulle problematiche forensi presieduto da un Ufficiale Generale dell’Arma dei Carabinieri (definizione del nominativo in corso)</w:t>
      </w:r>
    </w:p>
    <w:p w:rsidR="00310318" w:rsidRDefault="00310318" w:rsidP="00310318">
      <w:pPr>
        <w:ind w:right="276"/>
        <w:jc w:val="both"/>
      </w:pPr>
    </w:p>
    <w:p w:rsidR="00310318" w:rsidRPr="00B3086F" w:rsidRDefault="00310318" w:rsidP="00310318">
      <w:pPr>
        <w:jc w:val="both"/>
      </w:pPr>
      <w:r w:rsidRPr="00B3086F">
        <w:rPr>
          <w:lang w:eastAsia="it-IT"/>
        </w:rPr>
        <w:t>Sponsor (</w:t>
      </w:r>
      <w:r>
        <w:rPr>
          <w:lang w:eastAsia="it-IT"/>
        </w:rPr>
        <w:t xml:space="preserve">lista non definitiva - sono </w:t>
      </w:r>
      <w:r w:rsidRPr="00B3086F">
        <w:rPr>
          <w:lang w:eastAsia="it-IT"/>
        </w:rPr>
        <w:t>in corso contatti con varie realtà industriali di</w:t>
      </w:r>
      <w:r>
        <w:rPr>
          <w:lang w:eastAsia="it-IT"/>
        </w:rPr>
        <w:t xml:space="preserve"> spicco italiane ed internazionali</w:t>
      </w:r>
      <w:r w:rsidRPr="00B3086F">
        <w:rPr>
          <w:lang w:eastAsia="it-IT"/>
        </w:rPr>
        <w:t>)</w:t>
      </w:r>
    </w:p>
    <w:p w:rsidR="00310318" w:rsidRDefault="00310318" w:rsidP="00310318">
      <w:pPr>
        <w:jc w:val="both"/>
        <w:rPr>
          <w:lang w:eastAsia="it-IT"/>
        </w:rPr>
      </w:pPr>
    </w:p>
    <w:p w:rsidR="00310318" w:rsidRDefault="00310318" w:rsidP="00310318">
      <w:pPr>
        <w:numPr>
          <w:ilvl w:val="0"/>
          <w:numId w:val="3"/>
        </w:numPr>
      </w:pPr>
      <w:r>
        <w:t>BIP</w:t>
      </w:r>
    </w:p>
    <w:p w:rsidR="00310318" w:rsidRDefault="00310318" w:rsidP="00310318">
      <w:pPr>
        <w:numPr>
          <w:ilvl w:val="0"/>
          <w:numId w:val="3"/>
        </w:numPr>
      </w:pPr>
      <w:r>
        <w:rPr>
          <w:lang w:eastAsia="it-IT"/>
        </w:rPr>
        <w:t>CISCO</w:t>
      </w:r>
    </w:p>
    <w:p w:rsidR="00310318" w:rsidRDefault="00310318" w:rsidP="00310318">
      <w:pPr>
        <w:numPr>
          <w:ilvl w:val="0"/>
          <w:numId w:val="3"/>
        </w:numPr>
      </w:pPr>
      <w:r>
        <w:rPr>
          <w:lang w:eastAsia="it-IT"/>
        </w:rPr>
        <w:t>DELL</w:t>
      </w:r>
    </w:p>
    <w:p w:rsidR="00310318" w:rsidRDefault="00310318" w:rsidP="00310318">
      <w:pPr>
        <w:numPr>
          <w:ilvl w:val="0"/>
          <w:numId w:val="3"/>
        </w:numPr>
        <w:rPr>
          <w:lang w:eastAsia="it-IT"/>
        </w:rPr>
      </w:pPr>
      <w:r>
        <w:rPr>
          <w:lang w:eastAsia="it-IT"/>
        </w:rPr>
        <w:t>ELT – Elettronica</w:t>
      </w:r>
    </w:p>
    <w:p w:rsidR="00310318" w:rsidRDefault="00310318" w:rsidP="00310318">
      <w:pPr>
        <w:numPr>
          <w:ilvl w:val="0"/>
          <w:numId w:val="3"/>
        </w:numPr>
        <w:rPr>
          <w:lang w:eastAsia="it-IT"/>
        </w:rPr>
      </w:pPr>
      <w:r>
        <w:rPr>
          <w:lang w:eastAsia="it-IT"/>
        </w:rPr>
        <w:t>EPS</w:t>
      </w:r>
    </w:p>
    <w:p w:rsidR="00310318" w:rsidRDefault="00310318" w:rsidP="00310318">
      <w:pPr>
        <w:numPr>
          <w:ilvl w:val="0"/>
          <w:numId w:val="3"/>
        </w:numPr>
        <w:rPr>
          <w:lang w:eastAsia="it-IT"/>
        </w:rPr>
      </w:pPr>
      <w:r>
        <w:rPr>
          <w:lang w:eastAsia="it-IT"/>
        </w:rPr>
        <w:t>Fastweb</w:t>
      </w:r>
    </w:p>
    <w:p w:rsidR="00310318" w:rsidRDefault="00310318" w:rsidP="00310318">
      <w:pPr>
        <w:numPr>
          <w:ilvl w:val="0"/>
          <w:numId w:val="3"/>
        </w:numPr>
        <w:rPr>
          <w:lang w:eastAsia="it-IT"/>
        </w:rPr>
      </w:pPr>
      <w:r>
        <w:rPr>
          <w:lang w:eastAsia="it-IT"/>
        </w:rPr>
        <w:t>IBM</w:t>
      </w:r>
    </w:p>
    <w:p w:rsidR="00310318" w:rsidRDefault="00310318" w:rsidP="00310318">
      <w:pPr>
        <w:numPr>
          <w:ilvl w:val="0"/>
          <w:numId w:val="3"/>
        </w:numPr>
        <w:rPr>
          <w:lang w:eastAsia="it-IT"/>
        </w:rPr>
      </w:pPr>
      <w:r>
        <w:rPr>
          <w:lang w:eastAsia="it-IT"/>
        </w:rPr>
        <w:t>Radiocomm</w:t>
      </w:r>
    </w:p>
    <w:p w:rsidR="00310318" w:rsidRDefault="00310318" w:rsidP="00310318">
      <w:pPr>
        <w:numPr>
          <w:ilvl w:val="0"/>
          <w:numId w:val="3"/>
        </w:numPr>
        <w:rPr>
          <w:lang w:eastAsia="it-IT"/>
        </w:rPr>
      </w:pPr>
      <w:r>
        <w:rPr>
          <w:lang w:eastAsia="it-IT"/>
        </w:rPr>
        <w:t>SELEX-ES</w:t>
      </w:r>
    </w:p>
    <w:p w:rsidR="00310318" w:rsidRDefault="00310318" w:rsidP="00310318">
      <w:pPr>
        <w:numPr>
          <w:ilvl w:val="0"/>
          <w:numId w:val="3"/>
        </w:numPr>
        <w:rPr>
          <w:lang w:eastAsia="it-IT"/>
        </w:rPr>
      </w:pPr>
      <w:r>
        <w:rPr>
          <w:lang w:eastAsia="it-IT"/>
        </w:rPr>
        <w:t>SELTA</w:t>
      </w:r>
    </w:p>
    <w:p w:rsidR="00310318" w:rsidRDefault="00310318" w:rsidP="00310318">
      <w:pPr>
        <w:numPr>
          <w:ilvl w:val="0"/>
          <w:numId w:val="3"/>
        </w:numPr>
        <w:rPr>
          <w:lang w:eastAsia="it-IT"/>
        </w:rPr>
      </w:pPr>
      <w:r>
        <w:rPr>
          <w:lang w:eastAsia="it-IT"/>
        </w:rPr>
        <w:t>Sonicwall</w:t>
      </w:r>
    </w:p>
    <w:p w:rsidR="00310318" w:rsidRDefault="00310318" w:rsidP="00310318">
      <w:pPr>
        <w:numPr>
          <w:ilvl w:val="0"/>
          <w:numId w:val="3"/>
        </w:numPr>
        <w:rPr>
          <w:lang w:eastAsia="it-IT"/>
        </w:rPr>
      </w:pPr>
      <w:r>
        <w:rPr>
          <w:lang w:eastAsia="it-IT"/>
        </w:rPr>
        <w:t>Telsy</w:t>
      </w:r>
    </w:p>
    <w:p w:rsidR="00310318" w:rsidRDefault="00310318" w:rsidP="00310318">
      <w:pPr>
        <w:numPr>
          <w:ilvl w:val="0"/>
          <w:numId w:val="3"/>
        </w:numPr>
        <w:rPr>
          <w:lang w:eastAsia="it-IT"/>
        </w:rPr>
      </w:pPr>
      <w:r>
        <w:rPr>
          <w:lang w:eastAsia="it-IT"/>
        </w:rPr>
        <w:t>Tempestini</w:t>
      </w:r>
    </w:p>
    <w:p w:rsidR="00310318" w:rsidRDefault="00310318" w:rsidP="00310318">
      <w:pPr>
        <w:numPr>
          <w:ilvl w:val="0"/>
          <w:numId w:val="3"/>
        </w:numPr>
        <w:rPr>
          <w:lang w:eastAsia="it-IT"/>
        </w:rPr>
      </w:pPr>
      <w:r>
        <w:rPr>
          <w:lang w:eastAsia="it-IT"/>
        </w:rPr>
        <w:t>Vitrociset</w:t>
      </w:r>
    </w:p>
    <w:p w:rsidR="00310318" w:rsidRDefault="00310318" w:rsidP="00310318">
      <w:pPr>
        <w:rPr>
          <w:lang w:eastAsia="it-IT"/>
        </w:rPr>
      </w:pPr>
    </w:p>
    <w:p w:rsidR="00310318" w:rsidRDefault="00310318" w:rsidP="00310318">
      <w:pPr>
        <w:ind w:right="276"/>
        <w:jc w:val="both"/>
      </w:pPr>
      <w:r>
        <w:t>Media partner</w:t>
      </w:r>
    </w:p>
    <w:p w:rsidR="00310318" w:rsidRDefault="00310318" w:rsidP="00310318">
      <w:pPr>
        <w:ind w:right="276"/>
        <w:jc w:val="both"/>
      </w:pPr>
      <w:r>
        <w:tab/>
        <w:t>RID – Rivista Italiana Difesa</w:t>
      </w:r>
    </w:p>
    <w:p w:rsidR="00AA4672" w:rsidRDefault="00AA4672" w:rsidP="00310318">
      <w:pPr>
        <w:ind w:right="276"/>
        <w:jc w:val="both"/>
      </w:pPr>
      <w:r>
        <w:tab/>
        <w:t>Il Secolo XIX</w:t>
      </w:r>
    </w:p>
    <w:p w:rsidR="004238F7" w:rsidRDefault="00310318" w:rsidP="00310318">
      <w:pPr>
        <w:ind w:right="276"/>
        <w:jc w:val="both"/>
        <w:rPr>
          <w:rFonts w:asciiTheme="majorHAnsi" w:hAnsiTheme="majorHAnsi"/>
        </w:rPr>
      </w:pPr>
      <w:r>
        <w:br/>
      </w:r>
      <w:r w:rsidR="004238F7">
        <w:rPr>
          <w:rFonts w:asciiTheme="majorHAnsi" w:hAnsiTheme="majorHAnsi"/>
        </w:rPr>
        <w:t>Modalità di partecipazione</w:t>
      </w:r>
    </w:p>
    <w:p w:rsidR="004238F7" w:rsidRDefault="004238F7" w:rsidP="00310318">
      <w:pPr>
        <w:ind w:right="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310318" w:rsidRPr="004238F7">
        <w:rPr>
          <w:rFonts w:asciiTheme="majorHAnsi" w:hAnsiTheme="majorHAnsi"/>
        </w:rPr>
        <w:t xml:space="preserve"> costi organizzativi complessivi </w:t>
      </w:r>
      <w:r>
        <w:rPr>
          <w:rFonts w:asciiTheme="majorHAnsi" w:hAnsiTheme="majorHAnsi"/>
        </w:rPr>
        <w:t xml:space="preserve">del simposio </w:t>
      </w:r>
      <w:r w:rsidR="00310318" w:rsidRPr="004238F7">
        <w:rPr>
          <w:rFonts w:asciiTheme="majorHAnsi" w:hAnsiTheme="majorHAnsi"/>
        </w:rPr>
        <w:t>superano i 50.000,00€</w:t>
      </w:r>
      <w:r>
        <w:rPr>
          <w:rFonts w:asciiTheme="majorHAnsi" w:hAnsiTheme="majorHAnsi"/>
        </w:rPr>
        <w:t>.</w:t>
      </w:r>
    </w:p>
    <w:p w:rsidR="00310318" w:rsidRPr="004238F7" w:rsidRDefault="004238F7" w:rsidP="00310318">
      <w:pPr>
        <w:ind w:right="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 ogni sponsor </w:t>
      </w:r>
      <w:r w:rsidR="00310318" w:rsidRPr="004238F7">
        <w:rPr>
          <w:rFonts w:asciiTheme="majorHAnsi" w:hAnsiTheme="majorHAnsi"/>
        </w:rPr>
        <w:t>è richiest</w:t>
      </w:r>
      <w:r>
        <w:rPr>
          <w:rFonts w:asciiTheme="majorHAnsi" w:hAnsiTheme="majorHAnsi"/>
        </w:rPr>
        <w:t>o</w:t>
      </w:r>
      <w:r w:rsidR="00310318" w:rsidRPr="004238F7">
        <w:rPr>
          <w:rFonts w:asciiTheme="majorHAnsi" w:hAnsiTheme="majorHAnsi"/>
        </w:rPr>
        <w:t xml:space="preserve"> un ticket di sponsorizzazione pari a 3.000,00 € IVA esclusa che prevede:</w:t>
      </w:r>
    </w:p>
    <w:p w:rsidR="00310318" w:rsidRPr="004238F7" w:rsidRDefault="00310318" w:rsidP="00310318">
      <w:pPr>
        <w:ind w:right="276"/>
        <w:jc w:val="both"/>
        <w:rPr>
          <w:rFonts w:asciiTheme="majorHAnsi" w:hAnsiTheme="majorHAnsi"/>
        </w:rPr>
      </w:pPr>
    </w:p>
    <w:p w:rsidR="00310318" w:rsidRPr="004238F7" w:rsidRDefault="00310318" w:rsidP="00310318">
      <w:pPr>
        <w:numPr>
          <w:ilvl w:val="0"/>
          <w:numId w:val="2"/>
        </w:num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>una presentazione di circa 15-20 minuti</w:t>
      </w:r>
    </w:p>
    <w:p w:rsidR="00310318" w:rsidRPr="004238F7" w:rsidRDefault="00310318" w:rsidP="00310318">
      <w:pPr>
        <w:numPr>
          <w:ilvl w:val="0"/>
          <w:numId w:val="2"/>
        </w:num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lastRenderedPageBreak/>
        <w:t xml:space="preserve">la partecipazione alla serata organizzata </w:t>
      </w:r>
      <w:r w:rsidR="00C16A4C" w:rsidRPr="004238F7">
        <w:rPr>
          <w:rFonts w:asciiTheme="majorHAnsi" w:hAnsiTheme="majorHAnsi"/>
        </w:rPr>
        <w:t>il 15 maggio 2013</w:t>
      </w:r>
      <w:r w:rsidR="00C16A4C">
        <w:rPr>
          <w:rFonts w:asciiTheme="majorHAnsi" w:hAnsiTheme="majorHAnsi"/>
        </w:rPr>
        <w:t xml:space="preserve"> </w:t>
      </w:r>
      <w:r w:rsidRPr="004238F7">
        <w:rPr>
          <w:rFonts w:asciiTheme="majorHAnsi" w:hAnsiTheme="majorHAnsi"/>
        </w:rPr>
        <w:t xml:space="preserve">a favore dei VIP Difesa, del mondo accademico ed industriale, presso </w:t>
      </w:r>
      <w:r w:rsidR="00B23421">
        <w:rPr>
          <w:rFonts w:asciiTheme="majorHAnsi" w:hAnsiTheme="majorHAnsi"/>
        </w:rPr>
        <w:t>i</w:t>
      </w:r>
      <w:r w:rsidRPr="004238F7">
        <w:rPr>
          <w:rFonts w:asciiTheme="majorHAnsi" w:hAnsiTheme="majorHAnsi"/>
        </w:rPr>
        <w:t>l</w:t>
      </w:r>
      <w:r w:rsidR="00B23421">
        <w:rPr>
          <w:rFonts w:asciiTheme="majorHAnsi" w:hAnsiTheme="majorHAnsi"/>
        </w:rPr>
        <w:t xml:space="preserve"> Grand </w:t>
      </w:r>
      <w:r w:rsidRPr="004238F7">
        <w:rPr>
          <w:rFonts w:asciiTheme="majorHAnsi" w:hAnsiTheme="majorHAnsi"/>
        </w:rPr>
        <w:t xml:space="preserve">Hotel </w:t>
      </w:r>
      <w:r w:rsidR="00B23421">
        <w:rPr>
          <w:rFonts w:asciiTheme="majorHAnsi" w:hAnsiTheme="majorHAnsi"/>
        </w:rPr>
        <w:t xml:space="preserve">Villa </w:t>
      </w:r>
      <w:r w:rsidRPr="004238F7">
        <w:rPr>
          <w:rFonts w:asciiTheme="majorHAnsi" w:hAnsiTheme="majorHAnsi"/>
        </w:rPr>
        <w:t>Balbi ed il Ristorante Nettuno di Sestri Levante (GE) con 5 posti riservati</w:t>
      </w:r>
    </w:p>
    <w:p w:rsidR="00310318" w:rsidRPr="004238F7" w:rsidRDefault="00310318" w:rsidP="00310318">
      <w:pPr>
        <w:numPr>
          <w:ilvl w:val="0"/>
          <w:numId w:val="2"/>
        </w:num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 xml:space="preserve">la partecipazione alla serata organizzata </w:t>
      </w:r>
      <w:r w:rsidR="00C16A4C" w:rsidRPr="004238F7">
        <w:rPr>
          <w:rFonts w:asciiTheme="majorHAnsi" w:hAnsiTheme="majorHAnsi"/>
        </w:rPr>
        <w:t>il 16 maggio 2013</w:t>
      </w:r>
      <w:r w:rsidR="00C16A4C">
        <w:rPr>
          <w:rFonts w:asciiTheme="majorHAnsi" w:hAnsiTheme="majorHAnsi"/>
        </w:rPr>
        <w:t xml:space="preserve"> </w:t>
      </w:r>
      <w:r w:rsidRPr="004238F7">
        <w:rPr>
          <w:rFonts w:asciiTheme="majorHAnsi" w:hAnsiTheme="majorHAnsi"/>
        </w:rPr>
        <w:t>a favore dei VIP Difesa, del mondo accademico ed industriale, presso il Ristorante Manuelina di Recco (GE) con 5 posti riservati</w:t>
      </w:r>
    </w:p>
    <w:p w:rsidR="00310318" w:rsidRPr="004238F7" w:rsidRDefault="00310318" w:rsidP="00310318">
      <w:pPr>
        <w:numPr>
          <w:ilvl w:val="0"/>
          <w:numId w:val="2"/>
        </w:num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>coffee break e lunch nei due giorni del simposio gestito da una primaria ditta di catering ligure (Manuelina di Recco)</w:t>
      </w:r>
    </w:p>
    <w:p w:rsidR="00310318" w:rsidRPr="004238F7" w:rsidRDefault="00310318" w:rsidP="00310318">
      <w:pPr>
        <w:numPr>
          <w:ilvl w:val="0"/>
          <w:numId w:val="2"/>
        </w:num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>la stampa del Vs logo su tutto il materiale cartaceo riferito all’evento</w:t>
      </w:r>
    </w:p>
    <w:p w:rsidR="00310318" w:rsidRPr="004238F7" w:rsidRDefault="00310318" w:rsidP="00310318">
      <w:pPr>
        <w:numPr>
          <w:ilvl w:val="0"/>
          <w:numId w:val="2"/>
        </w:num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>risalto mediatico con media sponsor nazionali e di stampa specializzata (RAI, Rivista Italiana Difesa e varie)</w:t>
      </w:r>
    </w:p>
    <w:p w:rsidR="00310318" w:rsidRPr="004238F7" w:rsidRDefault="00310318" w:rsidP="00310318">
      <w:pPr>
        <w:numPr>
          <w:ilvl w:val="0"/>
          <w:numId w:val="2"/>
        </w:num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 xml:space="preserve">possibilità di esporre all’interno dei locali destinati al simposio, apparati ed il vostro materiale pubblicitario (roll-up, pop-up, flags, </w:t>
      </w:r>
      <w:r w:rsidR="00C16A4C">
        <w:rPr>
          <w:rFonts w:asciiTheme="majorHAnsi" w:hAnsiTheme="majorHAnsi"/>
        </w:rPr>
        <w:t xml:space="preserve">apparati </w:t>
      </w:r>
      <w:r w:rsidRPr="004238F7">
        <w:rPr>
          <w:rFonts w:asciiTheme="majorHAnsi" w:hAnsiTheme="majorHAnsi"/>
        </w:rPr>
        <w:t>ecc).</w:t>
      </w:r>
    </w:p>
    <w:p w:rsidR="00310318" w:rsidRPr="004238F7" w:rsidRDefault="00310318" w:rsidP="00310318">
      <w:pPr>
        <w:ind w:right="276"/>
        <w:jc w:val="both"/>
        <w:rPr>
          <w:rFonts w:asciiTheme="majorHAnsi" w:hAnsiTheme="majorHAnsi"/>
        </w:rPr>
      </w:pPr>
    </w:p>
    <w:p w:rsidR="00310318" w:rsidRPr="004238F7" w:rsidRDefault="00310318" w:rsidP="00310318">
      <w:p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>Nel caso in cui si volesse eseguire un secondo intervento, la quota di sponsorizzazione passa a 5.000,00 € IVA esclusa e prevede, oltre a quanto elencato</w:t>
      </w:r>
      <w:r w:rsidR="00AA4672" w:rsidRPr="004238F7">
        <w:rPr>
          <w:rFonts w:asciiTheme="majorHAnsi" w:hAnsiTheme="majorHAnsi"/>
        </w:rPr>
        <w:t xml:space="preserve"> in precedenza</w:t>
      </w:r>
      <w:r w:rsidRPr="004238F7">
        <w:rPr>
          <w:rFonts w:asciiTheme="majorHAnsi" w:hAnsiTheme="majorHAnsi"/>
        </w:rPr>
        <w:t xml:space="preserve">, una seconda presentazione di circa 15-20 minuti </w:t>
      </w:r>
      <w:r w:rsidR="00AA4672" w:rsidRPr="004238F7">
        <w:rPr>
          <w:rFonts w:asciiTheme="majorHAnsi" w:hAnsiTheme="majorHAnsi"/>
        </w:rPr>
        <w:t>e</w:t>
      </w:r>
      <w:r w:rsidRPr="004238F7">
        <w:rPr>
          <w:rFonts w:asciiTheme="majorHAnsi" w:hAnsiTheme="majorHAnsi"/>
        </w:rPr>
        <w:t xml:space="preserve"> un totale di otto posti riservati nel corso degli eventi serali del 15 e del 16 maggio 2013. </w:t>
      </w:r>
    </w:p>
    <w:p w:rsidR="00310318" w:rsidRPr="004238F7" w:rsidRDefault="00310318" w:rsidP="00310318">
      <w:pPr>
        <w:ind w:right="276"/>
        <w:jc w:val="both"/>
        <w:rPr>
          <w:rFonts w:asciiTheme="majorHAnsi" w:hAnsiTheme="majorHAnsi"/>
        </w:rPr>
      </w:pPr>
    </w:p>
    <w:p w:rsidR="00310318" w:rsidRPr="004238F7" w:rsidRDefault="00310318" w:rsidP="00310318">
      <w:p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>La quota di sponsorizzazione dovrà essere versata, alla fine dell’evento, alle ditte selezionate dalla Scuola per i servizi di catering, tipografia</w:t>
      </w:r>
      <w:r w:rsidR="00AA4672" w:rsidRPr="004238F7">
        <w:rPr>
          <w:rFonts w:asciiTheme="majorHAnsi" w:hAnsiTheme="majorHAnsi"/>
        </w:rPr>
        <w:t>, ecc</w:t>
      </w:r>
      <w:r w:rsidR="00332D7F" w:rsidRPr="004238F7">
        <w:rPr>
          <w:rFonts w:asciiTheme="majorHAnsi" w:hAnsiTheme="majorHAnsi"/>
        </w:rPr>
        <w:t xml:space="preserve"> </w:t>
      </w:r>
      <w:r w:rsidRPr="004238F7">
        <w:rPr>
          <w:rFonts w:asciiTheme="majorHAnsi" w:hAnsiTheme="majorHAnsi"/>
        </w:rPr>
        <w:t>che fattureranno direttamente agli sponsor.</w:t>
      </w:r>
    </w:p>
    <w:p w:rsidR="00AA4672" w:rsidRPr="004238F7" w:rsidRDefault="00AA4672" w:rsidP="00310318">
      <w:pPr>
        <w:ind w:right="276"/>
        <w:jc w:val="both"/>
        <w:rPr>
          <w:rFonts w:asciiTheme="majorHAnsi" w:hAnsiTheme="majorHAnsi"/>
        </w:rPr>
      </w:pPr>
    </w:p>
    <w:p w:rsidR="00310318" w:rsidRPr="004238F7" w:rsidRDefault="00310318" w:rsidP="00310318">
      <w:p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>Per favorire una riduzione dei costi di trasferta del personale è stata concordata una tariffa “Scuola Telecomunicazioni” con l’Hotel a 4 stelle “Grande</w:t>
      </w:r>
      <w:r w:rsidR="00C16A4C">
        <w:rPr>
          <w:rFonts w:asciiTheme="majorHAnsi" w:hAnsiTheme="majorHAnsi"/>
        </w:rPr>
        <w:t xml:space="preserve"> </w:t>
      </w:r>
      <w:r w:rsidRPr="004238F7">
        <w:rPr>
          <w:rFonts w:asciiTheme="majorHAnsi" w:hAnsiTheme="majorHAnsi"/>
        </w:rPr>
        <w:t>Albergo” sito in Via Vittorio Veneto 2 di Sestri Levante (GE) Tel 0185-450837. La predetta tariffa comprende:</w:t>
      </w:r>
    </w:p>
    <w:p w:rsidR="00310318" w:rsidRPr="004238F7" w:rsidRDefault="00310318" w:rsidP="00310318">
      <w:pPr>
        <w:ind w:right="276"/>
        <w:jc w:val="both"/>
        <w:rPr>
          <w:rFonts w:asciiTheme="majorHAnsi" w:hAnsiTheme="majorHAnsi"/>
        </w:rPr>
      </w:pPr>
    </w:p>
    <w:p w:rsidR="00310318" w:rsidRPr="004238F7" w:rsidRDefault="00310318" w:rsidP="00310318">
      <w:pPr>
        <w:pStyle w:val="Paragrafoelenco"/>
        <w:numPr>
          <w:ilvl w:val="0"/>
          <w:numId w:val="4"/>
        </w:num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>camera singola o doppia uso singola</w:t>
      </w:r>
    </w:p>
    <w:p w:rsidR="00310318" w:rsidRPr="004238F7" w:rsidRDefault="00310318" w:rsidP="00310318">
      <w:pPr>
        <w:pStyle w:val="Paragrafoelenco"/>
        <w:numPr>
          <w:ilvl w:val="0"/>
          <w:numId w:val="4"/>
        </w:num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>colazione</w:t>
      </w:r>
    </w:p>
    <w:p w:rsidR="00310318" w:rsidRPr="004238F7" w:rsidRDefault="00310318" w:rsidP="00310318">
      <w:pPr>
        <w:pStyle w:val="Paragrafoelenco"/>
        <w:numPr>
          <w:ilvl w:val="0"/>
          <w:numId w:val="4"/>
        </w:num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>parcheggio auto.</w:t>
      </w:r>
    </w:p>
    <w:p w:rsidR="00310318" w:rsidRPr="004238F7" w:rsidRDefault="00310318" w:rsidP="00310318">
      <w:pPr>
        <w:ind w:right="276"/>
        <w:jc w:val="both"/>
        <w:rPr>
          <w:rFonts w:asciiTheme="majorHAnsi" w:hAnsiTheme="majorHAnsi"/>
        </w:rPr>
      </w:pPr>
    </w:p>
    <w:p w:rsidR="00310318" w:rsidRPr="004238F7" w:rsidRDefault="00310318" w:rsidP="00310318">
      <w:pPr>
        <w:ind w:right="276"/>
        <w:jc w:val="both"/>
        <w:rPr>
          <w:rFonts w:asciiTheme="majorHAnsi" w:hAnsiTheme="majorHAnsi"/>
        </w:rPr>
      </w:pPr>
      <w:r w:rsidRPr="004238F7">
        <w:rPr>
          <w:rFonts w:asciiTheme="majorHAnsi" w:hAnsiTheme="majorHAnsi"/>
        </w:rPr>
        <w:t xml:space="preserve">Per partecipare al Simposio in qualità di </w:t>
      </w:r>
      <w:r w:rsidR="00AA4672" w:rsidRPr="004238F7">
        <w:rPr>
          <w:rFonts w:asciiTheme="majorHAnsi" w:hAnsiTheme="majorHAnsi"/>
        </w:rPr>
        <w:t>“Relatore Sponsor”</w:t>
      </w:r>
      <w:r w:rsidRPr="004238F7">
        <w:rPr>
          <w:rFonts w:asciiTheme="majorHAnsi" w:hAnsiTheme="majorHAnsi"/>
        </w:rPr>
        <w:t xml:space="preserve">, occorre segnalare la propria adesione, per e-mail ed entro il </w:t>
      </w:r>
      <w:r w:rsidR="00C16A4C">
        <w:rPr>
          <w:rFonts w:asciiTheme="majorHAnsi" w:hAnsiTheme="majorHAnsi"/>
        </w:rPr>
        <w:t>5 aprile</w:t>
      </w:r>
      <w:r w:rsidRPr="004238F7">
        <w:rPr>
          <w:rFonts w:asciiTheme="majorHAnsi" w:hAnsiTheme="majorHAnsi"/>
        </w:rPr>
        <w:t xml:space="preserve"> p.v., al C.F. Giuseppe M. Pennisi al seguente indirizzo di posta elettronica:</w:t>
      </w:r>
    </w:p>
    <w:p w:rsidR="00310318" w:rsidRPr="004238F7" w:rsidRDefault="00310318" w:rsidP="00310318">
      <w:pPr>
        <w:ind w:right="276"/>
        <w:jc w:val="both"/>
        <w:rPr>
          <w:rFonts w:asciiTheme="majorHAnsi" w:hAnsiTheme="majorHAnsi"/>
        </w:rPr>
      </w:pPr>
    </w:p>
    <w:p w:rsidR="00310318" w:rsidRPr="004238F7" w:rsidRDefault="00B13D4C" w:rsidP="00310318">
      <w:pPr>
        <w:ind w:right="276"/>
        <w:jc w:val="center"/>
        <w:rPr>
          <w:rFonts w:asciiTheme="majorHAnsi" w:hAnsiTheme="majorHAnsi"/>
        </w:rPr>
      </w:pPr>
      <w:hyperlink r:id="rId8" w:history="1">
        <w:r w:rsidR="00310318" w:rsidRPr="004238F7">
          <w:rPr>
            <w:rStyle w:val="Collegamentoipertestuale"/>
            <w:rFonts w:asciiTheme="majorHAnsi" w:hAnsiTheme="majorHAnsi"/>
          </w:rPr>
          <w:t>giuseppem.pennisi@marina.difesa.it</w:t>
        </w:r>
      </w:hyperlink>
    </w:p>
    <w:p w:rsidR="00FF313F" w:rsidRDefault="00FF313F">
      <w:pPr>
        <w:rPr>
          <w:rFonts w:asciiTheme="majorHAnsi" w:hAnsiTheme="majorHAnsi"/>
        </w:rPr>
      </w:pPr>
    </w:p>
    <w:p w:rsidR="009215C2" w:rsidRDefault="009215C2">
      <w:pPr>
        <w:rPr>
          <w:rFonts w:asciiTheme="majorHAnsi" w:hAnsiTheme="majorHAnsi"/>
        </w:rPr>
      </w:pPr>
    </w:p>
    <w:p w:rsidR="009215C2" w:rsidRPr="004238F7" w:rsidRDefault="009215C2">
      <w:pPr>
        <w:rPr>
          <w:rFonts w:asciiTheme="majorHAnsi" w:hAnsiTheme="majorHAnsi"/>
        </w:rPr>
      </w:pPr>
    </w:p>
    <w:sectPr w:rsidR="009215C2" w:rsidRPr="004238F7" w:rsidSect="00FF313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9A" w:rsidRDefault="006A0C9A" w:rsidP="0082789D">
      <w:r>
        <w:separator/>
      </w:r>
    </w:p>
  </w:endnote>
  <w:endnote w:type="continuationSeparator" w:id="1">
    <w:p w:rsidR="006A0C9A" w:rsidRDefault="006A0C9A" w:rsidP="0082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695"/>
      <w:docPartObj>
        <w:docPartGallery w:val="Page Numbers (Bottom of Page)"/>
        <w:docPartUnique/>
      </w:docPartObj>
    </w:sdtPr>
    <w:sdtContent>
      <w:p w:rsidR="0082789D" w:rsidRDefault="00B13D4C">
        <w:pPr>
          <w:pStyle w:val="Pidipagina"/>
          <w:jc w:val="right"/>
        </w:pPr>
        <w:r>
          <w:fldChar w:fldCharType="begin"/>
        </w:r>
        <w:r w:rsidR="0082789D">
          <w:instrText xml:space="preserve"> PAGE   \* MERGEFORMAT </w:instrText>
        </w:r>
        <w:r>
          <w:fldChar w:fldCharType="separate"/>
        </w:r>
        <w:r w:rsidR="009215C2">
          <w:rPr>
            <w:noProof/>
          </w:rPr>
          <w:t>1</w:t>
        </w:r>
        <w:r>
          <w:fldChar w:fldCharType="end"/>
        </w:r>
      </w:p>
    </w:sdtContent>
  </w:sdt>
  <w:p w:rsidR="0082789D" w:rsidRDefault="008278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9A" w:rsidRDefault="006A0C9A" w:rsidP="0082789D">
      <w:r>
        <w:separator/>
      </w:r>
    </w:p>
  </w:footnote>
  <w:footnote w:type="continuationSeparator" w:id="1">
    <w:p w:rsidR="006A0C9A" w:rsidRDefault="006A0C9A" w:rsidP="00827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9D" w:rsidRDefault="00332D7F" w:rsidP="0082789D">
    <w:pPr>
      <w:jc w:val="center"/>
    </w:pPr>
    <w:r>
      <w:rPr>
        <w:noProof/>
        <w:lang w:eastAsia="it-IT"/>
      </w:rPr>
      <w:drawing>
        <wp:inline distT="0" distB="0" distL="0" distR="0">
          <wp:extent cx="457200" cy="914400"/>
          <wp:effectExtent l="19050" t="0" r="0" b="0"/>
          <wp:docPr id="1" name="I 1" descr="SCUOLA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 descr="SCUOLA DEFINI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789D" w:rsidRPr="009D25B1" w:rsidRDefault="0082789D" w:rsidP="0082789D">
    <w:pPr>
      <w:jc w:val="center"/>
      <w:rPr>
        <w:b/>
        <w:sz w:val="28"/>
        <w:szCs w:val="28"/>
      </w:rPr>
    </w:pPr>
    <w:r w:rsidRPr="009D25B1">
      <w:rPr>
        <w:b/>
        <w:sz w:val="28"/>
        <w:szCs w:val="28"/>
      </w:rPr>
      <w:t>Scuola Telecomunicazioni delle FF.AA.</w:t>
    </w:r>
  </w:p>
  <w:p w:rsidR="0082789D" w:rsidRDefault="0082789D" w:rsidP="008278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C06"/>
    <w:multiLevelType w:val="hybridMultilevel"/>
    <w:tmpl w:val="37DC724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8C70D0"/>
    <w:multiLevelType w:val="hybridMultilevel"/>
    <w:tmpl w:val="6A666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04FD"/>
    <w:multiLevelType w:val="hybridMultilevel"/>
    <w:tmpl w:val="22E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10408"/>
    <w:multiLevelType w:val="multilevel"/>
    <w:tmpl w:val="9334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DD6EEE"/>
    <w:multiLevelType w:val="hybridMultilevel"/>
    <w:tmpl w:val="E848D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C4727"/>
    <w:multiLevelType w:val="hybridMultilevel"/>
    <w:tmpl w:val="C53A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10318"/>
    <w:rsid w:val="001C3671"/>
    <w:rsid w:val="00280D10"/>
    <w:rsid w:val="00295669"/>
    <w:rsid w:val="00310318"/>
    <w:rsid w:val="00332D7F"/>
    <w:rsid w:val="004238F7"/>
    <w:rsid w:val="00582180"/>
    <w:rsid w:val="00656E37"/>
    <w:rsid w:val="006A0C9A"/>
    <w:rsid w:val="0082789D"/>
    <w:rsid w:val="00882CF6"/>
    <w:rsid w:val="009215C2"/>
    <w:rsid w:val="009E77A4"/>
    <w:rsid w:val="00A107B4"/>
    <w:rsid w:val="00A21039"/>
    <w:rsid w:val="00AA4672"/>
    <w:rsid w:val="00B13D4C"/>
    <w:rsid w:val="00B23421"/>
    <w:rsid w:val="00BD4526"/>
    <w:rsid w:val="00C16A4C"/>
    <w:rsid w:val="00CA7762"/>
    <w:rsid w:val="00D6137A"/>
    <w:rsid w:val="00FD0DD1"/>
    <w:rsid w:val="00FE211B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18"/>
    <w:pPr>
      <w:jc w:val="left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basedOn w:val="Normale"/>
    <w:next w:val="Normale"/>
    <w:rsid w:val="00310318"/>
    <w:pPr>
      <w:ind w:left="567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0318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31031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3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318"/>
    <w:rPr>
      <w:rFonts w:ascii="Tahoma" w:eastAsia="Cambr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7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89D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7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89D"/>
    <w:rPr>
      <w:rFonts w:ascii="Cambria" w:eastAsia="Cambria" w:hAnsi="Cambria" w:cs="Times New Roman"/>
      <w:sz w:val="24"/>
      <w:szCs w:val="24"/>
    </w:rPr>
  </w:style>
  <w:style w:type="paragraph" w:styleId="Revisione">
    <w:name w:val="Revision"/>
    <w:hidden/>
    <w:uiPriority w:val="99"/>
    <w:semiHidden/>
    <w:rsid w:val="00B23421"/>
    <w:pPr>
      <w:jc w:val="left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m.pennisi@marina.dife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ECC6-41B3-4A9F-AE12-904BA455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g.pennisi</dc:creator>
  <cp:lastModifiedBy>g.pennisi</cp:lastModifiedBy>
  <cp:revision>5</cp:revision>
  <cp:lastPrinted>2013-03-20T15:45:00Z</cp:lastPrinted>
  <dcterms:created xsi:type="dcterms:W3CDTF">2013-03-20T15:39:00Z</dcterms:created>
  <dcterms:modified xsi:type="dcterms:W3CDTF">2013-03-20T15:56:00Z</dcterms:modified>
</cp:coreProperties>
</file>