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630F64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3C7BB9" w:rsidRPr="00630F64" w:rsidRDefault="00630F64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EC38FE" w:rsidRPr="00630F64">
        <w:rPr>
          <w:spacing w:val="-2"/>
        </w:rPr>
        <w:t>Engineering.IT SpA</w:t>
      </w:r>
    </w:p>
    <w:p w:rsidR="00EC38FE" w:rsidRPr="00630F64" w:rsidRDefault="003C7BB9" w:rsidP="00EC38F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30F64">
        <w:rPr>
          <w:spacing w:val="-2"/>
        </w:rPr>
        <w:tab/>
      </w:r>
      <w:r w:rsidRPr="00630F64">
        <w:rPr>
          <w:spacing w:val="-2"/>
        </w:rPr>
        <w:tab/>
      </w:r>
      <w:r w:rsidRPr="00630F64">
        <w:rPr>
          <w:spacing w:val="-2"/>
        </w:rPr>
        <w:tab/>
      </w:r>
      <w:r w:rsidRPr="00630F64">
        <w:rPr>
          <w:spacing w:val="-2"/>
        </w:rPr>
        <w:tab/>
      </w:r>
      <w:r w:rsidRPr="00630F64">
        <w:rPr>
          <w:spacing w:val="-2"/>
        </w:rPr>
        <w:tab/>
      </w:r>
      <w:r w:rsidRPr="00630F64">
        <w:rPr>
          <w:spacing w:val="-2"/>
        </w:rPr>
        <w:tab/>
      </w:r>
      <w:r w:rsidRPr="00630F64">
        <w:rPr>
          <w:spacing w:val="-2"/>
        </w:rPr>
        <w:tab/>
      </w:r>
      <w:r w:rsidRPr="00630F64">
        <w:rPr>
          <w:spacing w:val="-2"/>
        </w:rPr>
        <w:tab/>
      </w:r>
      <w:r w:rsidRPr="00630F64">
        <w:rPr>
          <w:spacing w:val="-2"/>
        </w:rPr>
        <w:tab/>
      </w:r>
      <w:r w:rsidRPr="00630F64">
        <w:rPr>
          <w:spacing w:val="-2"/>
        </w:rPr>
        <w:tab/>
      </w:r>
      <w:r w:rsidR="00EC38FE" w:rsidRPr="00630F64">
        <w:rPr>
          <w:spacing w:val="-2"/>
        </w:rPr>
        <w:t>Viale Carlo Viola, 76</w:t>
      </w:r>
    </w:p>
    <w:p w:rsidR="00EC38FE" w:rsidRPr="00630F64" w:rsidRDefault="00EC38FE" w:rsidP="00EC38F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630F64">
        <w:rPr>
          <w:spacing w:val="-2"/>
        </w:rPr>
        <w:t xml:space="preserve">                                                                                                          11026 Pont Saint Martin (AO)</w:t>
      </w:r>
    </w:p>
    <w:p w:rsidR="003C7BB9" w:rsidRPr="00630F64" w:rsidRDefault="003C7BB9" w:rsidP="00EC38F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EC38FE">
        <w:rPr>
          <w:spacing w:val="-2"/>
          <w:lang w:val="it-IT"/>
        </w:rPr>
        <w:t>42.000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 xml:space="preserve"> </w:t>
      </w:r>
      <w:r w:rsidR="00F42A0D">
        <w:rPr>
          <w:spacing w:val="-2"/>
          <w:lang w:val="it-IT"/>
        </w:rPr>
        <w:tab/>
        <w:t xml:space="preserve"> </w:t>
      </w:r>
      <w:r w:rsidR="00EC38FE">
        <w:rPr>
          <w:spacing w:val="-2"/>
          <w:lang w:val="it-IT"/>
        </w:rPr>
        <w:t>42</w:t>
      </w:r>
      <w:r w:rsidR="00F42A0D">
        <w:rPr>
          <w:spacing w:val="-2"/>
          <w:lang w:val="it-IT"/>
        </w:rPr>
        <w:t>.000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30F64" w:rsidRDefault="00630F64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Milano, 27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E3" w:rsidRDefault="00EF27E3">
      <w:r>
        <w:separator/>
      </w:r>
    </w:p>
  </w:endnote>
  <w:endnote w:type="continuationSeparator" w:id="1">
    <w:p w:rsidR="00EF27E3" w:rsidRDefault="00EF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E3" w:rsidRDefault="00EF27E3">
      <w:r>
        <w:separator/>
      </w:r>
    </w:p>
  </w:footnote>
  <w:footnote w:type="continuationSeparator" w:id="1">
    <w:p w:rsidR="00EF27E3" w:rsidRDefault="00EF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06FCE"/>
    <w:rsid w:val="00414D6E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251E2"/>
    <w:rsid w:val="006267A0"/>
    <w:rsid w:val="00630F57"/>
    <w:rsid w:val="00630F64"/>
    <w:rsid w:val="00671637"/>
    <w:rsid w:val="00687626"/>
    <w:rsid w:val="006B187F"/>
    <w:rsid w:val="006B68B9"/>
    <w:rsid w:val="006C0169"/>
    <w:rsid w:val="006C4C49"/>
    <w:rsid w:val="006D18E1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5BDE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45A20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46A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38FE"/>
    <w:rsid w:val="00EC7DD4"/>
    <w:rsid w:val="00EF11A2"/>
    <w:rsid w:val="00EF27E3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2148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23</cp:revision>
  <cp:lastPrinted>2010-02-08T15:25:00Z</cp:lastPrinted>
  <dcterms:created xsi:type="dcterms:W3CDTF">2010-04-06T15:41:00Z</dcterms:created>
  <dcterms:modified xsi:type="dcterms:W3CDTF">2010-12-27T10:14:00Z</dcterms:modified>
</cp:coreProperties>
</file>