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960" w:rsidRDefault="00FD0960" w:rsidP="00FD0960">
      <w:pPr>
        <w:outlineLvl w:val="0"/>
        <w:rPr>
          <w:rFonts w:eastAsia="Times New Roman"/>
        </w:rPr>
      </w:pPr>
      <w:r w:rsidRPr="00FD0960">
        <w:rPr>
          <w:rFonts w:ascii="Tahoma" w:eastAsia="Times New Roman" w:hAnsi="Tahoma" w:cs="Tahoma"/>
          <w:b/>
          <w:bCs/>
          <w:sz w:val="20"/>
          <w:szCs w:val="20"/>
          <w:lang w:val="en-US"/>
        </w:rPr>
        <w:t>From</w:t>
      </w:r>
      <w:r w:rsidRPr="00FD0960">
        <w:rPr>
          <w:rFonts w:ascii="Tahoma" w:eastAsia="Times New Roman" w:hAnsi="Tahoma" w:cs="Tahoma"/>
          <w:sz w:val="20"/>
          <w:szCs w:val="20"/>
          <w:lang w:val="en-US"/>
        </w:rPr>
        <w:t xml:space="preserve">: </w:t>
      </w:r>
      <w:proofErr w:type="spellStart"/>
      <w:r w:rsidRPr="00FD0960">
        <w:rPr>
          <w:rFonts w:ascii="Tahoma" w:eastAsia="Times New Roman" w:hAnsi="Tahoma" w:cs="Tahoma"/>
          <w:sz w:val="20"/>
          <w:szCs w:val="20"/>
          <w:lang w:val="en-US"/>
        </w:rPr>
        <w:t>asiandefense</w:t>
      </w:r>
      <w:proofErr w:type="spellEnd"/>
      <w:r w:rsidRPr="00FD0960">
        <w:rPr>
          <w:rFonts w:ascii="Tahoma" w:eastAsia="Times New Roman" w:hAnsi="Tahoma" w:cs="Tahoma"/>
          <w:sz w:val="20"/>
          <w:szCs w:val="20"/>
          <w:lang w:val="en-US"/>
        </w:rPr>
        <w:t xml:space="preserve"> [</w:t>
      </w:r>
      <w:hyperlink r:id="rId4" w:history="1">
        <w:r w:rsidRPr="00FD0960">
          <w:rPr>
            <w:rStyle w:val="Collegamentoipertestuale"/>
            <w:rFonts w:ascii="Tahoma" w:eastAsia="Times New Roman" w:hAnsi="Tahoma" w:cs="Tahoma"/>
            <w:sz w:val="20"/>
            <w:szCs w:val="20"/>
            <w:lang w:val="en-US"/>
          </w:rPr>
          <w:t>mailto:mail.buvqkthebvoxkihjhrk@online.ubmthailand.com</w:t>
        </w:r>
      </w:hyperlink>
      <w:r w:rsidRPr="00FD0960">
        <w:rPr>
          <w:rFonts w:ascii="Tahoma" w:eastAsia="Times New Roman" w:hAnsi="Tahoma" w:cs="Tahoma"/>
          <w:sz w:val="20"/>
          <w:szCs w:val="20"/>
          <w:lang w:val="en-US"/>
        </w:rPr>
        <w:t xml:space="preserve">] </w:t>
      </w:r>
      <w:r w:rsidRPr="00FD0960">
        <w:rPr>
          <w:rFonts w:ascii="Tahoma" w:eastAsia="Times New Roman" w:hAnsi="Tahoma" w:cs="Tahoma"/>
          <w:sz w:val="20"/>
          <w:szCs w:val="20"/>
          <w:lang w:val="en-US"/>
        </w:rPr>
        <w:br/>
      </w:r>
      <w:r w:rsidRPr="00FD0960">
        <w:rPr>
          <w:rFonts w:ascii="Tahoma" w:eastAsia="Times New Roman" w:hAnsi="Tahoma" w:cs="Tahoma"/>
          <w:b/>
          <w:bCs/>
          <w:sz w:val="20"/>
          <w:szCs w:val="20"/>
          <w:lang w:val="en-US"/>
        </w:rPr>
        <w:t>Sent</w:t>
      </w:r>
      <w:r w:rsidRPr="00FD0960">
        <w:rPr>
          <w:rFonts w:ascii="Tahoma" w:eastAsia="Times New Roman" w:hAnsi="Tahoma" w:cs="Tahoma"/>
          <w:sz w:val="20"/>
          <w:szCs w:val="20"/>
          <w:lang w:val="en-US"/>
        </w:rPr>
        <w:t>: Tuesday, July 22, 2014 12:58 PM</w:t>
      </w:r>
      <w:r w:rsidRPr="00FD0960">
        <w:rPr>
          <w:rFonts w:ascii="Tahoma" w:eastAsia="Times New Roman" w:hAnsi="Tahoma" w:cs="Tahoma"/>
          <w:sz w:val="20"/>
          <w:szCs w:val="20"/>
          <w:lang w:val="en-US"/>
        </w:rPr>
        <w:br/>
      </w:r>
      <w:r w:rsidRPr="00FD0960">
        <w:rPr>
          <w:rFonts w:ascii="Tahoma" w:eastAsia="Times New Roman" w:hAnsi="Tahoma" w:cs="Tahoma"/>
          <w:b/>
          <w:bCs/>
          <w:sz w:val="20"/>
          <w:szCs w:val="20"/>
          <w:lang w:val="en-US"/>
        </w:rPr>
        <w:t>To</w:t>
      </w:r>
      <w:r w:rsidRPr="00FD0960">
        <w:rPr>
          <w:rFonts w:ascii="Tahoma" w:eastAsia="Times New Roman" w:hAnsi="Tahoma" w:cs="Tahoma"/>
          <w:sz w:val="20"/>
          <w:szCs w:val="20"/>
          <w:lang w:val="en-US"/>
        </w:rPr>
        <w:t xml:space="preserve">: info </w:t>
      </w:r>
      <w:r w:rsidRPr="00FD0960">
        <w:rPr>
          <w:rFonts w:ascii="Tahoma" w:eastAsia="Times New Roman" w:hAnsi="Tahoma" w:cs="Tahoma"/>
          <w:sz w:val="20"/>
          <w:szCs w:val="20"/>
          <w:lang w:val="en-US"/>
        </w:rPr>
        <w:br/>
      </w:r>
      <w:r w:rsidRPr="00FD0960">
        <w:rPr>
          <w:rFonts w:ascii="Tahoma" w:eastAsia="Times New Roman" w:hAnsi="Tahoma" w:cs="Tahoma"/>
          <w:b/>
          <w:bCs/>
          <w:sz w:val="20"/>
          <w:szCs w:val="20"/>
          <w:lang w:val="en-US"/>
        </w:rPr>
        <w:t>Subject</w:t>
      </w:r>
      <w:r w:rsidRPr="00FD0960">
        <w:rPr>
          <w:rFonts w:ascii="Tahoma" w:eastAsia="Times New Roman" w:hAnsi="Tahoma" w:cs="Tahoma"/>
          <w:sz w:val="20"/>
          <w:szCs w:val="20"/>
          <w:lang w:val="en-US"/>
        </w:rPr>
        <w:t xml:space="preserve">: ‘Defense &amp; Security 2015 – PRIMED FOR ACTION!’ </w:t>
      </w:r>
      <w:r>
        <w:rPr>
          <w:rFonts w:ascii="Tahoma" w:eastAsia="Times New Roman" w:hAnsi="Tahoma" w:cs="Tahoma"/>
          <w:sz w:val="20"/>
          <w:szCs w:val="20"/>
        </w:rPr>
        <w:t xml:space="preserve">2-5 </w:t>
      </w:r>
      <w:proofErr w:type="spellStart"/>
      <w:r>
        <w:rPr>
          <w:rFonts w:ascii="Tahoma" w:eastAsia="Times New Roman" w:hAnsi="Tahoma" w:cs="Tahoma"/>
          <w:sz w:val="20"/>
          <w:szCs w:val="20"/>
        </w:rPr>
        <w:t>November</w:t>
      </w:r>
      <w:proofErr w:type="spellEnd"/>
      <w:r>
        <w:rPr>
          <w:rFonts w:ascii="Tahoma" w:eastAsia="Times New Roman" w:hAnsi="Tahoma" w:cs="Tahoma"/>
          <w:sz w:val="20"/>
          <w:szCs w:val="20"/>
        </w:rPr>
        <w:t xml:space="preserve"> 2015 at IMPACT </w:t>
      </w:r>
      <w:proofErr w:type="spellStart"/>
      <w:r>
        <w:rPr>
          <w:rFonts w:ascii="Tahoma" w:eastAsia="Times New Roman" w:hAnsi="Tahoma" w:cs="Tahoma"/>
          <w:sz w:val="20"/>
          <w:szCs w:val="20"/>
        </w:rPr>
        <w:t>Exhibition</w:t>
      </w:r>
      <w:proofErr w:type="spellEnd"/>
      <w:r>
        <w:rPr>
          <w:rFonts w:ascii="Tahoma" w:eastAsia="Times New Roman" w:hAnsi="Tahoma" w:cs="Tahoma"/>
          <w:sz w:val="20"/>
          <w:szCs w:val="20"/>
        </w:rPr>
        <w:t xml:space="preserve"> and Convention Center, </w:t>
      </w:r>
      <w:proofErr w:type="spellStart"/>
      <w:r>
        <w:rPr>
          <w:rFonts w:ascii="Tahoma" w:eastAsia="Times New Roman" w:hAnsi="Tahoma" w:cs="Tahoma"/>
          <w:sz w:val="20"/>
          <w:szCs w:val="20"/>
        </w:rPr>
        <w:t>Thailand</w:t>
      </w:r>
      <w:proofErr w:type="spellEnd"/>
      <w:r>
        <w:rPr>
          <w:rFonts w:ascii="Tahoma" w:eastAsia="Times New Roman" w:hAnsi="Tahoma" w:cs="Tahoma"/>
          <w:sz w:val="20"/>
          <w:szCs w:val="20"/>
        </w:rPr>
        <w:t xml:space="preserve">. </w:t>
      </w:r>
      <w:r>
        <w:rPr>
          <w:rFonts w:ascii="Tahoma" w:eastAsia="Times New Roman" w:hAnsi="Tahoma" w:cs="Tahoma"/>
          <w:sz w:val="20"/>
          <w:szCs w:val="20"/>
        </w:rPr>
        <w:br/>
      </w:r>
      <w:r>
        <w:rPr>
          <w:rFonts w:eastAsia="Times New Roman"/>
        </w:rPr>
        <w:t> </w:t>
      </w:r>
    </w:p>
    <w:p w:rsidR="00FD0960" w:rsidRDefault="00FD0960" w:rsidP="00FD0960">
      <w:pPr>
        <w:rPr>
          <w:rFonts w:eastAsia="Times New Roman"/>
        </w:rPr>
      </w:pPr>
      <w:r>
        <w:rPr>
          <w:rFonts w:eastAsia="Times New Roman"/>
        </w:rPr>
        <w:t xml:space="preserve">  </w:t>
      </w:r>
    </w:p>
    <w:tbl>
      <w:tblPr>
        <w:tblW w:w="12060" w:type="dxa"/>
        <w:tblCellSpacing w:w="0" w:type="dxa"/>
        <w:tblInd w:w="-1140" w:type="dxa"/>
        <w:tblBorders>
          <w:top w:val="outset" w:sz="6" w:space="0" w:color="800040"/>
          <w:left w:val="outset" w:sz="6" w:space="0" w:color="800040"/>
          <w:bottom w:val="outset" w:sz="6" w:space="0" w:color="800040"/>
          <w:right w:val="outset" w:sz="6" w:space="0" w:color="800040"/>
        </w:tblBorders>
        <w:tblCellMar>
          <w:left w:w="0" w:type="dxa"/>
          <w:right w:w="0" w:type="dxa"/>
        </w:tblCellMar>
        <w:tblLook w:val="04A0"/>
      </w:tblPr>
      <w:tblGrid>
        <w:gridCol w:w="12060"/>
      </w:tblGrid>
      <w:tr w:rsidR="00FD0960" w:rsidRPr="00FD0960" w:rsidTr="00FD0960">
        <w:trPr>
          <w:trHeight w:val="12170"/>
          <w:tblCellSpacing w:w="0" w:type="dxa"/>
        </w:trPr>
        <w:tc>
          <w:tcPr>
            <w:tcW w:w="12060" w:type="dxa"/>
            <w:tcBorders>
              <w:top w:val="outset" w:sz="6" w:space="0" w:color="800040"/>
              <w:left w:val="outset" w:sz="6" w:space="0" w:color="800040"/>
              <w:bottom w:val="outset" w:sz="6" w:space="0" w:color="800040"/>
              <w:right w:val="outset" w:sz="6" w:space="0" w:color="800040"/>
            </w:tcBorders>
            <w:vAlign w:val="center"/>
          </w:tcPr>
          <w:tbl>
            <w:tblPr>
              <w:tblW w:w="10860" w:type="dxa"/>
              <w:tblCellSpacing w:w="0" w:type="dxa"/>
              <w:tblCellMar>
                <w:left w:w="0" w:type="dxa"/>
                <w:right w:w="0" w:type="dxa"/>
              </w:tblCellMar>
              <w:tblLook w:val="04A0"/>
            </w:tblPr>
            <w:tblGrid>
              <w:gridCol w:w="3756"/>
              <w:gridCol w:w="5393"/>
              <w:gridCol w:w="1534"/>
              <w:gridCol w:w="177"/>
            </w:tblGrid>
            <w:tr w:rsidR="00FD0960">
              <w:trPr>
                <w:tblCellSpacing w:w="0" w:type="dxa"/>
              </w:trPr>
              <w:tc>
                <w:tcPr>
                  <w:tcW w:w="0" w:type="auto"/>
                  <w:gridSpan w:val="4"/>
                  <w:vAlign w:val="center"/>
                </w:tcPr>
                <w:p w:rsidR="00FD0960" w:rsidRDefault="00FD0960">
                  <w:pPr>
                    <w:jc w:val="center"/>
                    <w:rPr>
                      <w:rFonts w:eastAsia="Times New Roman"/>
                      <w:lang w:eastAsia="en-US"/>
                    </w:rPr>
                  </w:pPr>
                </w:p>
                <w:p w:rsidR="00FD0960" w:rsidRDefault="00FD0960">
                  <w:pPr>
                    <w:jc w:val="center"/>
                    <w:rPr>
                      <w:rFonts w:eastAsia="Times New Roman"/>
                      <w:lang w:eastAsia="en-US"/>
                    </w:rPr>
                  </w:pPr>
                  <w:r>
                    <w:rPr>
                      <w:rFonts w:eastAsia="Times New Roman"/>
                      <w:noProof/>
                      <w:color w:val="0000FF"/>
                    </w:rPr>
                    <w:drawing>
                      <wp:inline distT="0" distB="0" distL="0" distR="0">
                        <wp:extent cx="6096000" cy="1619250"/>
                        <wp:effectExtent l="19050" t="0" r="0" b="0"/>
                        <wp:docPr id="314" name="Immagine 314" descr="http://news.ubmthailand.com/Newsletter/2014/DEF/E-News-Defense15-edit2-smallsize.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news.ubmthailand.com/Newsletter/2014/DEF/E-News-Defense15-edit2-smallsize.jpg"/>
                                <pic:cNvPicPr>
                                  <a:picLocks noChangeAspect="1" noChangeArrowheads="1"/>
                                </pic:cNvPicPr>
                              </pic:nvPicPr>
                              <pic:blipFill>
                                <a:blip r:embed="rId6" cstate="print"/>
                                <a:srcRect/>
                                <a:stretch>
                                  <a:fillRect/>
                                </a:stretch>
                              </pic:blipFill>
                              <pic:spPr bwMode="auto">
                                <a:xfrm>
                                  <a:off x="0" y="0"/>
                                  <a:ext cx="6096000" cy="1619250"/>
                                </a:xfrm>
                                <a:prstGeom prst="rect">
                                  <a:avLst/>
                                </a:prstGeom>
                                <a:noFill/>
                                <a:ln w="9525">
                                  <a:noFill/>
                                  <a:miter lim="800000"/>
                                  <a:headEnd/>
                                  <a:tailEnd/>
                                </a:ln>
                              </pic:spPr>
                            </pic:pic>
                          </a:graphicData>
                        </a:graphic>
                      </wp:inline>
                    </w:drawing>
                  </w:r>
                </w:p>
              </w:tc>
            </w:tr>
            <w:tr w:rsidR="00FD0960">
              <w:trPr>
                <w:tblCellSpacing w:w="0" w:type="dxa"/>
              </w:trPr>
              <w:tc>
                <w:tcPr>
                  <w:tcW w:w="2820" w:type="dxa"/>
                  <w:vAlign w:val="center"/>
                  <w:hideMark/>
                </w:tcPr>
                <w:p w:rsidR="00FD0960" w:rsidRDefault="00FD0960">
                  <w:pPr>
                    <w:jc w:val="right"/>
                    <w:rPr>
                      <w:rFonts w:eastAsia="Times New Roman"/>
                      <w:lang w:eastAsia="en-US"/>
                    </w:rPr>
                  </w:pPr>
                  <w:r>
                    <w:rPr>
                      <w:rFonts w:ascii="Arial" w:eastAsia="Times New Roman" w:hAnsi="Arial" w:cs="Arial"/>
                      <w:b/>
                      <w:bCs/>
                      <w:sz w:val="20"/>
                      <w:szCs w:val="20"/>
                      <w:lang w:eastAsia="en-US"/>
                    </w:rPr>
                    <w:t>ENEW</w:t>
                  </w:r>
                </w:p>
              </w:tc>
              <w:tc>
                <w:tcPr>
                  <w:tcW w:w="5700" w:type="dxa"/>
                  <w:vAlign w:val="center"/>
                  <w:hideMark/>
                </w:tcPr>
                <w:p w:rsidR="00FD0960" w:rsidRDefault="00FD0960">
                  <w:pPr>
                    <w:rPr>
                      <w:rFonts w:asciiTheme="minorHAnsi" w:hAnsiTheme="minorHAnsi" w:cstheme="minorBidi"/>
                      <w:sz w:val="22"/>
                      <w:szCs w:val="22"/>
                      <w:lang w:eastAsia="en-US"/>
                    </w:rPr>
                  </w:pPr>
                </w:p>
              </w:tc>
              <w:tc>
                <w:tcPr>
                  <w:tcW w:w="1650" w:type="dxa"/>
                  <w:vAlign w:val="center"/>
                  <w:hideMark/>
                </w:tcPr>
                <w:p w:rsidR="00FD0960" w:rsidRDefault="00FD0960">
                  <w:pPr>
                    <w:jc w:val="center"/>
                    <w:rPr>
                      <w:rFonts w:ascii="Arial" w:eastAsia="Times New Roman" w:hAnsi="Arial" w:cs="Arial"/>
                      <w:lang w:eastAsia="en-US"/>
                    </w:rPr>
                  </w:pPr>
                  <w:r>
                    <w:rPr>
                      <w:rFonts w:ascii="Arial" w:eastAsia="Times New Roman" w:hAnsi="Arial" w:cs="Arial"/>
                      <w:b/>
                      <w:bCs/>
                      <w:lang w:eastAsia="en-US"/>
                    </w:rPr>
                    <w:t> </w:t>
                  </w:r>
                  <w:r>
                    <w:rPr>
                      <w:rFonts w:ascii="Arial" w:eastAsia="Times New Roman" w:hAnsi="Arial" w:cs="Arial"/>
                      <w:b/>
                      <w:bCs/>
                      <w:sz w:val="20"/>
                      <w:szCs w:val="20"/>
                      <w:lang w:eastAsia="en-US"/>
                    </w:rPr>
                    <w:t>22 July2014  </w:t>
                  </w:r>
                  <w:r>
                    <w:rPr>
                      <w:rFonts w:ascii="Arial" w:eastAsia="Times New Roman" w:hAnsi="Arial" w:cs="Arial"/>
                      <w:b/>
                      <w:bCs/>
                      <w:sz w:val="15"/>
                      <w:szCs w:val="15"/>
                      <w:lang w:eastAsia="en-US"/>
                    </w:rPr>
                    <w:t> </w:t>
                  </w:r>
                </w:p>
              </w:tc>
              <w:tc>
                <w:tcPr>
                  <w:tcW w:w="165" w:type="dxa"/>
                  <w:vAlign w:val="center"/>
                  <w:hideMark/>
                </w:tcPr>
                <w:p w:rsidR="00FD0960" w:rsidRDefault="00FD0960">
                  <w:pPr>
                    <w:jc w:val="right"/>
                    <w:rPr>
                      <w:rFonts w:eastAsia="Times New Roman"/>
                      <w:lang w:eastAsia="en-US"/>
                    </w:rPr>
                  </w:pPr>
                  <w:r>
                    <w:rPr>
                      <w:rFonts w:ascii="Arial" w:eastAsia="Times New Roman" w:hAnsi="Arial" w:cs="Arial"/>
                      <w:sz w:val="20"/>
                      <w:szCs w:val="20"/>
                      <w:lang w:eastAsia="en-US"/>
                    </w:rPr>
                    <w:t> </w:t>
                  </w:r>
                </w:p>
              </w:tc>
            </w:tr>
            <w:tr w:rsidR="00FD0960">
              <w:trPr>
                <w:tblCellSpacing w:w="0" w:type="dxa"/>
              </w:trPr>
              <w:tc>
                <w:tcPr>
                  <w:tcW w:w="0" w:type="auto"/>
                  <w:gridSpan w:val="3"/>
                  <w:vAlign w:val="center"/>
                  <w:hideMark/>
                </w:tcPr>
                <w:p w:rsidR="00FD0960" w:rsidRDefault="00FD0960">
                  <w:pPr>
                    <w:rPr>
                      <w:rFonts w:asciiTheme="minorHAnsi" w:hAnsiTheme="minorHAnsi" w:cstheme="minorBidi"/>
                      <w:sz w:val="22"/>
                      <w:szCs w:val="22"/>
                      <w:lang w:eastAsia="en-US"/>
                    </w:rPr>
                  </w:pPr>
                </w:p>
              </w:tc>
              <w:tc>
                <w:tcPr>
                  <w:tcW w:w="0" w:type="auto"/>
                  <w:vAlign w:val="center"/>
                  <w:hideMark/>
                </w:tcPr>
                <w:p w:rsidR="00FD0960" w:rsidRDefault="00FD0960">
                  <w:pPr>
                    <w:rPr>
                      <w:rFonts w:asciiTheme="minorHAnsi" w:hAnsiTheme="minorHAnsi" w:cstheme="minorBidi"/>
                      <w:sz w:val="22"/>
                      <w:szCs w:val="22"/>
                      <w:lang w:eastAsia="en-US"/>
                    </w:rPr>
                  </w:pPr>
                </w:p>
              </w:tc>
            </w:tr>
            <w:tr w:rsidR="00FD0960" w:rsidRPr="00FD0960">
              <w:trPr>
                <w:tblCellSpacing w:w="0" w:type="dxa"/>
              </w:trPr>
              <w:tc>
                <w:tcPr>
                  <w:tcW w:w="0" w:type="auto"/>
                  <w:gridSpan w:val="4"/>
                  <w:shd w:val="clear" w:color="auto" w:fill="FFFFFF"/>
                  <w:tcMar>
                    <w:top w:w="75" w:type="dxa"/>
                    <w:left w:w="75" w:type="dxa"/>
                    <w:bottom w:w="75" w:type="dxa"/>
                    <w:right w:w="75" w:type="dxa"/>
                  </w:tcMar>
                  <w:hideMark/>
                </w:tcPr>
                <w:p w:rsidR="00FD0960" w:rsidRPr="00FD0960" w:rsidRDefault="00FD0960">
                  <w:pPr>
                    <w:spacing w:before="100" w:beforeAutospacing="1" w:after="100" w:afterAutospacing="1"/>
                    <w:jc w:val="center"/>
                    <w:rPr>
                      <w:lang w:val="en-US" w:eastAsia="en-US"/>
                    </w:rPr>
                  </w:pPr>
                  <w:r w:rsidRPr="00FD0960">
                    <w:rPr>
                      <w:rFonts w:ascii="Tahoma" w:hAnsi="Tahoma" w:cs="Tahoma"/>
                      <w:color w:val="FF0000"/>
                      <w:sz w:val="28"/>
                      <w:szCs w:val="28"/>
                      <w:lang w:val="en-US" w:eastAsia="en-US"/>
                    </w:rPr>
                    <w:t>‘</w:t>
                  </w:r>
                  <w:r w:rsidRPr="00FD0960">
                    <w:rPr>
                      <w:rFonts w:ascii="Tahoma" w:hAnsi="Tahoma" w:cs="Tahoma"/>
                      <w:b/>
                      <w:bCs/>
                      <w:color w:val="FF0000"/>
                      <w:sz w:val="28"/>
                      <w:szCs w:val="28"/>
                      <w:lang w:val="en-US" w:eastAsia="en-US"/>
                    </w:rPr>
                    <w:t>Defense &amp; Security 2015 – PRIMED FOR ACTION!’</w:t>
                  </w:r>
                </w:p>
                <w:p w:rsidR="00FD0960" w:rsidRPr="00FD0960" w:rsidRDefault="00FD0960">
                  <w:pPr>
                    <w:spacing w:before="100" w:beforeAutospacing="1" w:after="100" w:afterAutospacing="1"/>
                    <w:jc w:val="both"/>
                    <w:rPr>
                      <w:lang w:val="en-US" w:eastAsia="en-US"/>
                    </w:rPr>
                  </w:pPr>
                  <w:r w:rsidRPr="00FD0960">
                    <w:rPr>
                      <w:rFonts w:ascii="Arial" w:hAnsi="Arial" w:cs="Arial"/>
                      <w:sz w:val="20"/>
                      <w:szCs w:val="20"/>
                      <w:lang w:val="en-US" w:eastAsia="en-US"/>
                    </w:rPr>
                    <w:t xml:space="preserve">To promote Defense &amp; Security 2015 the Defense &amp; Security team has been making courtesy calls to top brass and high-ranking military officials and defense ministers around the world. </w:t>
                  </w:r>
                  <w:r w:rsidRPr="00FD0960">
                    <w:rPr>
                      <w:rFonts w:ascii="Arial" w:hAnsi="Arial" w:cs="Arial"/>
                      <w:b/>
                      <w:bCs/>
                      <w:sz w:val="20"/>
                      <w:szCs w:val="20"/>
                      <w:lang w:val="en-US" w:eastAsia="en-US"/>
                    </w:rPr>
                    <w:t xml:space="preserve">Last week, Mr. M. Gandhi, the Managing Director of GML Exhibition(Thailand) Co., Ltd. - organizer of Defense &amp; Security 2015 - made a courtesy visit to H.E. Lt. Gen. </w:t>
                  </w:r>
                  <w:proofErr w:type="spellStart"/>
                  <w:r w:rsidRPr="00FD0960">
                    <w:rPr>
                      <w:rFonts w:ascii="Arial" w:hAnsi="Arial" w:cs="Arial"/>
                      <w:b/>
                      <w:bCs/>
                      <w:sz w:val="20"/>
                      <w:szCs w:val="20"/>
                      <w:lang w:val="en-US" w:eastAsia="en-US"/>
                    </w:rPr>
                    <w:t>Wai</w:t>
                  </w:r>
                  <w:proofErr w:type="spellEnd"/>
                  <w:r w:rsidRPr="00FD0960">
                    <w:rPr>
                      <w:rFonts w:ascii="Arial" w:hAnsi="Arial" w:cs="Arial"/>
                      <w:b/>
                      <w:bCs/>
                      <w:sz w:val="20"/>
                      <w:szCs w:val="20"/>
                      <w:lang w:val="en-US" w:eastAsia="en-US"/>
                    </w:rPr>
                    <w:t xml:space="preserve"> </w:t>
                  </w:r>
                  <w:proofErr w:type="spellStart"/>
                  <w:r w:rsidRPr="00FD0960">
                    <w:rPr>
                      <w:rFonts w:ascii="Arial" w:hAnsi="Arial" w:cs="Arial"/>
                      <w:b/>
                      <w:bCs/>
                      <w:sz w:val="20"/>
                      <w:szCs w:val="20"/>
                      <w:lang w:val="en-US" w:eastAsia="en-US"/>
                    </w:rPr>
                    <w:t>Lwin</w:t>
                  </w:r>
                  <w:proofErr w:type="spellEnd"/>
                  <w:r w:rsidRPr="00FD0960">
                    <w:rPr>
                      <w:rFonts w:ascii="Arial" w:hAnsi="Arial" w:cs="Arial"/>
                      <w:b/>
                      <w:bCs/>
                      <w:sz w:val="20"/>
                      <w:szCs w:val="20"/>
                      <w:lang w:val="en-US" w:eastAsia="en-US"/>
                    </w:rPr>
                    <w:t xml:space="preserve">, Union Minister for </w:t>
                  </w:r>
                  <w:proofErr w:type="spellStart"/>
                  <w:r w:rsidRPr="00FD0960">
                    <w:rPr>
                      <w:rFonts w:ascii="Arial" w:hAnsi="Arial" w:cs="Arial"/>
                      <w:b/>
                      <w:bCs/>
                      <w:sz w:val="20"/>
                      <w:szCs w:val="20"/>
                      <w:lang w:val="en-US" w:eastAsia="en-US"/>
                    </w:rPr>
                    <w:t>Defence</w:t>
                  </w:r>
                  <w:proofErr w:type="spellEnd"/>
                  <w:r w:rsidRPr="00FD0960">
                    <w:rPr>
                      <w:rFonts w:ascii="Arial" w:hAnsi="Arial" w:cs="Arial"/>
                      <w:b/>
                      <w:bCs/>
                      <w:sz w:val="20"/>
                      <w:szCs w:val="20"/>
                      <w:lang w:val="en-US" w:eastAsia="en-US"/>
                    </w:rPr>
                    <w:t>, Republic of the Union of Myanmar, inviting him and high ranking delegations from Myanmar to visit the show next year in an official capacity.</w:t>
                  </w:r>
                </w:p>
                <w:p w:rsidR="00FD0960" w:rsidRDefault="00FD0960">
                  <w:pPr>
                    <w:jc w:val="center"/>
                    <w:rPr>
                      <w:rFonts w:eastAsia="Times New Roman"/>
                      <w:lang w:eastAsia="en-US"/>
                    </w:rPr>
                  </w:pPr>
                  <w:r>
                    <w:rPr>
                      <w:rFonts w:eastAsia="Times New Roman"/>
                      <w:noProof/>
                    </w:rPr>
                    <w:drawing>
                      <wp:inline distT="0" distB="0" distL="0" distR="0">
                        <wp:extent cx="6267450" cy="1924050"/>
                        <wp:effectExtent l="19050" t="0" r="0" b="0"/>
                        <wp:docPr id="315" name="Immagine 315" descr="http://news.ubmthailand.com/Newsletter/2014/ISF/Minmyan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news.ubmthailand.com/Newsletter/2014/ISF/Minmyanmar.JPG"/>
                                <pic:cNvPicPr>
                                  <a:picLocks noChangeAspect="1" noChangeArrowheads="1"/>
                                </pic:cNvPicPr>
                              </pic:nvPicPr>
                              <pic:blipFill>
                                <a:blip r:embed="rId7" cstate="print"/>
                                <a:srcRect/>
                                <a:stretch>
                                  <a:fillRect/>
                                </a:stretch>
                              </pic:blipFill>
                              <pic:spPr bwMode="auto">
                                <a:xfrm>
                                  <a:off x="0" y="0"/>
                                  <a:ext cx="6267450" cy="1924050"/>
                                </a:xfrm>
                                <a:prstGeom prst="rect">
                                  <a:avLst/>
                                </a:prstGeom>
                                <a:noFill/>
                                <a:ln w="9525">
                                  <a:noFill/>
                                  <a:miter lim="800000"/>
                                  <a:headEnd/>
                                  <a:tailEnd/>
                                </a:ln>
                              </pic:spPr>
                            </pic:pic>
                          </a:graphicData>
                        </a:graphic>
                      </wp:inline>
                    </w:drawing>
                  </w:r>
                  <w:r>
                    <w:rPr>
                      <w:rFonts w:eastAsia="Times New Roman"/>
                      <w:lang w:eastAsia="en-US"/>
                    </w:rPr>
                    <w:br/>
                  </w:r>
                </w:p>
                <w:p w:rsidR="00FD0960" w:rsidRPr="00FD0960" w:rsidRDefault="00FD0960">
                  <w:pPr>
                    <w:spacing w:before="100" w:beforeAutospacing="1" w:after="100" w:afterAutospacing="1"/>
                    <w:jc w:val="both"/>
                    <w:rPr>
                      <w:lang w:val="en-US" w:eastAsia="en-US"/>
                    </w:rPr>
                  </w:pPr>
                  <w:r w:rsidRPr="00FD0960">
                    <w:rPr>
                      <w:rFonts w:ascii="Arial" w:hAnsi="Arial" w:cs="Arial"/>
                      <w:sz w:val="20"/>
                      <w:szCs w:val="20"/>
                      <w:lang w:val="en-US" w:eastAsia="en-US"/>
                    </w:rPr>
                    <w:t xml:space="preserve">Earlier, the team also visited some of the leading defense companies in Beijing to promote show opportunities to Chinese exhibitors. All visits received positive feedback and interest in exhibiting was strong, especially from </w:t>
                  </w:r>
                  <w:r w:rsidRPr="00FD0960">
                    <w:rPr>
                      <w:rStyle w:val="st1"/>
                      <w:rFonts w:ascii="Arial" w:hAnsi="Arial" w:cs="Arial"/>
                      <w:b/>
                      <w:bCs/>
                      <w:sz w:val="20"/>
                      <w:szCs w:val="20"/>
                      <w:lang w:val="en-US" w:eastAsia="en-US"/>
                    </w:rPr>
                    <w:t>The State Administration for Science, Technology and Industry for National Defense</w:t>
                  </w:r>
                  <w:r w:rsidRPr="00FD0960">
                    <w:rPr>
                      <w:rFonts w:ascii="Arial" w:hAnsi="Arial" w:cs="Arial"/>
                      <w:b/>
                      <w:bCs/>
                      <w:sz w:val="20"/>
                      <w:szCs w:val="20"/>
                      <w:lang w:val="en-US" w:eastAsia="en-US"/>
                    </w:rPr>
                    <w:t xml:space="preserve"> (SASTIND), CETC, </w:t>
                  </w:r>
                  <w:r>
                    <w:rPr>
                      <w:rFonts w:ascii="Calibri" w:hAnsi="Calibri" w:cs="Calibri"/>
                      <w:b/>
                      <w:bCs/>
                      <w:sz w:val="22"/>
                      <w:szCs w:val="22"/>
                      <w:lang w:eastAsia="en-US"/>
                    </w:rPr>
                    <w:t xml:space="preserve">China Shipbuilding Industry Corporation </w:t>
                  </w:r>
                  <w:r w:rsidRPr="00FD0960">
                    <w:rPr>
                      <w:rFonts w:ascii="Arial" w:hAnsi="Arial" w:cs="Arial"/>
                      <w:b/>
                      <w:bCs/>
                      <w:sz w:val="20"/>
                      <w:szCs w:val="20"/>
                      <w:lang w:val="en-US" w:eastAsia="en-US"/>
                    </w:rPr>
                    <w:t xml:space="preserve">, </w:t>
                  </w:r>
                  <w:r>
                    <w:rPr>
                      <w:rFonts w:ascii="Calibri" w:hAnsi="Calibri" w:cs="Calibri"/>
                      <w:b/>
                      <w:bCs/>
                      <w:sz w:val="22"/>
                      <w:szCs w:val="22"/>
                      <w:lang w:eastAsia="en-US"/>
                    </w:rPr>
                    <w:t>China Shipbuilding Trading Co., Ltd</w:t>
                  </w:r>
                  <w:r>
                    <w:rPr>
                      <w:rFonts w:ascii="Calibri" w:hAnsi="Calibri" w:cs="Calibri"/>
                      <w:sz w:val="22"/>
                      <w:szCs w:val="22"/>
                      <w:lang w:eastAsia="en-US"/>
                    </w:rPr>
                    <w:t xml:space="preserve"> </w:t>
                  </w:r>
                  <w:r w:rsidRPr="00FD0960">
                    <w:rPr>
                      <w:rFonts w:ascii="Arial" w:hAnsi="Arial" w:cs="Arial"/>
                      <w:b/>
                      <w:bCs/>
                      <w:sz w:val="20"/>
                      <w:szCs w:val="20"/>
                      <w:lang w:val="en-US" w:eastAsia="en-US"/>
                    </w:rPr>
                    <w:t>and China Precision Machinery Import-Export Corporation(CPMIEC).</w:t>
                  </w:r>
                  <w:r w:rsidRPr="00FD0960">
                    <w:rPr>
                      <w:rFonts w:ascii="Arial" w:hAnsi="Arial" w:cs="Arial"/>
                      <w:sz w:val="20"/>
                      <w:szCs w:val="20"/>
                      <w:lang w:val="en-US" w:eastAsia="en-US"/>
                    </w:rPr>
                    <w:t xml:space="preserve"> Most companies see positive business opportunities in Thailand and are eager to establish a foothold in the booming ASEAN region.</w:t>
                  </w:r>
                </w:p>
                <w:p w:rsidR="00FD0960" w:rsidRDefault="00FD0960">
                  <w:pPr>
                    <w:jc w:val="center"/>
                    <w:rPr>
                      <w:rFonts w:eastAsia="Times New Roman"/>
                      <w:lang w:eastAsia="en-US"/>
                    </w:rPr>
                  </w:pPr>
                  <w:r>
                    <w:rPr>
                      <w:rFonts w:eastAsia="Times New Roman"/>
                      <w:noProof/>
                    </w:rPr>
                    <w:lastRenderedPageBreak/>
                    <w:drawing>
                      <wp:inline distT="0" distB="0" distL="0" distR="0">
                        <wp:extent cx="6267450" cy="1924050"/>
                        <wp:effectExtent l="19050" t="0" r="0" b="0"/>
                        <wp:docPr id="316" name="Immagine 316" descr="http://news.ubmthailand.com/Newsletter/2014/ISF/MG%20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news.ubmthailand.com/Newsletter/2014/ISF/MG%20pic.JPG"/>
                                <pic:cNvPicPr>
                                  <a:picLocks noChangeAspect="1" noChangeArrowheads="1"/>
                                </pic:cNvPicPr>
                              </pic:nvPicPr>
                              <pic:blipFill>
                                <a:blip r:embed="rId8" cstate="print"/>
                                <a:srcRect/>
                                <a:stretch>
                                  <a:fillRect/>
                                </a:stretch>
                              </pic:blipFill>
                              <pic:spPr bwMode="auto">
                                <a:xfrm>
                                  <a:off x="0" y="0"/>
                                  <a:ext cx="6267450" cy="1924050"/>
                                </a:xfrm>
                                <a:prstGeom prst="rect">
                                  <a:avLst/>
                                </a:prstGeom>
                                <a:noFill/>
                                <a:ln w="9525">
                                  <a:noFill/>
                                  <a:miter lim="800000"/>
                                  <a:headEnd/>
                                  <a:tailEnd/>
                                </a:ln>
                              </pic:spPr>
                            </pic:pic>
                          </a:graphicData>
                        </a:graphic>
                      </wp:inline>
                    </w:drawing>
                  </w:r>
                </w:p>
                <w:p w:rsidR="00FD0960" w:rsidRPr="00FD0960" w:rsidRDefault="00FD0960">
                  <w:pPr>
                    <w:spacing w:before="100" w:beforeAutospacing="1" w:after="100" w:afterAutospacing="1"/>
                    <w:jc w:val="both"/>
                    <w:rPr>
                      <w:lang w:val="en-US" w:eastAsia="en-US"/>
                    </w:rPr>
                  </w:pPr>
                  <w:r w:rsidRPr="00FD0960">
                    <w:rPr>
                      <w:rFonts w:ascii="Arial" w:hAnsi="Arial" w:cs="Arial"/>
                      <w:b/>
                      <w:bCs/>
                      <w:sz w:val="20"/>
                      <w:szCs w:val="20"/>
                      <w:lang w:val="en-US" w:eastAsia="en-US"/>
                    </w:rPr>
                    <w:t>Defense &amp; Security</w:t>
                  </w:r>
                  <w:r w:rsidRPr="00FD0960">
                    <w:rPr>
                      <w:rFonts w:ascii="Arial" w:hAnsi="Arial" w:cs="Arial"/>
                      <w:sz w:val="20"/>
                      <w:szCs w:val="20"/>
                      <w:lang w:val="en-US" w:eastAsia="en-US"/>
                    </w:rPr>
                    <w:t xml:space="preserve"> </w:t>
                  </w:r>
                  <w:r w:rsidRPr="00FD0960">
                    <w:rPr>
                      <w:rFonts w:ascii="Arial" w:hAnsi="Arial" w:cs="Arial"/>
                      <w:b/>
                      <w:bCs/>
                      <w:sz w:val="20"/>
                      <w:szCs w:val="20"/>
                      <w:lang w:val="en-US" w:eastAsia="en-US"/>
                    </w:rPr>
                    <w:t xml:space="preserve">2015 - </w:t>
                  </w:r>
                  <w:r w:rsidRPr="00FD0960">
                    <w:rPr>
                      <w:rFonts w:ascii="Arial" w:hAnsi="Arial" w:cs="Arial"/>
                      <w:sz w:val="20"/>
                      <w:szCs w:val="20"/>
                      <w:lang w:val="en-US" w:eastAsia="en-US"/>
                    </w:rPr>
                    <w:t xml:space="preserve">Asia’s leading Tri-Service Asian Defense &amp; Security Exhibition, Conference and Networking Event, has success in its cross-hairs. The 2015 show is shaping up to be one of the biggest and most dynamic military exhibitions ever held in the region. It will provide outstanding opportunities for international businesses in the D&amp;S industry and enable global companies to enter ASEAN’s booming defense and security market. </w:t>
                  </w:r>
                </w:p>
                <w:p w:rsidR="00FD0960" w:rsidRPr="00FD0960" w:rsidRDefault="00FD0960">
                  <w:pPr>
                    <w:spacing w:before="100" w:beforeAutospacing="1" w:after="100" w:afterAutospacing="1"/>
                    <w:jc w:val="both"/>
                    <w:rPr>
                      <w:lang w:val="en-US" w:eastAsia="en-US"/>
                    </w:rPr>
                  </w:pPr>
                  <w:r w:rsidRPr="00FD0960">
                    <w:rPr>
                      <w:rFonts w:ascii="Arial" w:hAnsi="Arial" w:cs="Arial"/>
                      <w:sz w:val="20"/>
                      <w:szCs w:val="20"/>
                      <w:lang w:val="en-US" w:eastAsia="en-US"/>
                    </w:rPr>
                    <w:t>Business Networking is also set to be outstanding with over 200 Official Delegations expected to attend from more than 25 countries , most of which will be   represented by Defense Ministers, Chiefs of the Army, Navy and Air Force, and other  high-ranking military officials and decision-makers.  D&amp;S has grown to become a must-exhibit event for any company in the industry.</w:t>
                  </w:r>
                </w:p>
              </w:tc>
            </w:tr>
            <w:tr w:rsidR="00FD0960" w:rsidRPr="00FD0960">
              <w:trPr>
                <w:tblCellSpacing w:w="0" w:type="dxa"/>
              </w:trPr>
              <w:tc>
                <w:tcPr>
                  <w:tcW w:w="0" w:type="auto"/>
                  <w:shd w:val="clear" w:color="auto" w:fill="FFFFFF"/>
                  <w:tcMar>
                    <w:top w:w="75" w:type="dxa"/>
                    <w:left w:w="75" w:type="dxa"/>
                    <w:bottom w:w="75" w:type="dxa"/>
                    <w:right w:w="75" w:type="dxa"/>
                  </w:tcMar>
                  <w:hideMark/>
                </w:tcPr>
                <w:p w:rsidR="00FD0960" w:rsidRDefault="00FD0960">
                  <w:pPr>
                    <w:rPr>
                      <w:rFonts w:eastAsia="Times New Roman"/>
                      <w:lang w:eastAsia="en-US"/>
                    </w:rPr>
                  </w:pPr>
                  <w:r>
                    <w:rPr>
                      <w:rFonts w:eastAsia="Times New Roman"/>
                      <w:noProof/>
                      <w:color w:val="0000FF"/>
                    </w:rPr>
                    <w:lastRenderedPageBreak/>
                    <w:drawing>
                      <wp:inline distT="0" distB="0" distL="0" distR="0">
                        <wp:extent cx="2114550" cy="609600"/>
                        <wp:effectExtent l="19050" t="0" r="0" b="0"/>
                        <wp:docPr id="317" name="Immagine 317" descr="http://news.ubmthailand.com/Newsletter/2014/DEF/downlodabrochurebanner.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news.ubmthailand.com/Newsletter/2014/DEF/downlodabrochurebanner.jpg"/>
                                <pic:cNvPicPr>
                                  <a:picLocks noChangeAspect="1" noChangeArrowheads="1"/>
                                </pic:cNvPicPr>
                              </pic:nvPicPr>
                              <pic:blipFill>
                                <a:blip r:embed="rId10" cstate="print"/>
                                <a:srcRect/>
                                <a:stretch>
                                  <a:fillRect/>
                                </a:stretch>
                              </pic:blipFill>
                              <pic:spPr bwMode="auto">
                                <a:xfrm>
                                  <a:off x="0" y="0"/>
                                  <a:ext cx="2114550" cy="609600"/>
                                </a:xfrm>
                                <a:prstGeom prst="rect">
                                  <a:avLst/>
                                </a:prstGeom>
                                <a:noFill/>
                                <a:ln w="9525">
                                  <a:noFill/>
                                  <a:miter lim="800000"/>
                                  <a:headEnd/>
                                  <a:tailEnd/>
                                </a:ln>
                              </pic:spPr>
                            </pic:pic>
                          </a:graphicData>
                        </a:graphic>
                      </wp:inline>
                    </w:drawing>
                  </w:r>
                  <w:r>
                    <w:rPr>
                      <w:rFonts w:eastAsia="Times New Roman"/>
                      <w:lang w:eastAsia="en-US"/>
                    </w:rPr>
                    <w:br/>
                  </w:r>
                  <w:r>
                    <w:rPr>
                      <w:rFonts w:eastAsia="Times New Roman"/>
                      <w:noProof/>
                      <w:color w:val="0000FF"/>
                    </w:rPr>
                    <w:drawing>
                      <wp:inline distT="0" distB="0" distL="0" distR="0">
                        <wp:extent cx="2105025" cy="1733550"/>
                        <wp:effectExtent l="19050" t="0" r="9525" b="0"/>
                        <wp:docPr id="318" name="Immagine 318" descr="http://news.ubmthailand.com/Newsletter/2014/DEF/Videopresentation.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news.ubmthailand.com/Newsletter/2014/DEF/Videopresentation.jpg"/>
                                <pic:cNvPicPr>
                                  <a:picLocks noChangeAspect="1" noChangeArrowheads="1"/>
                                </pic:cNvPicPr>
                              </pic:nvPicPr>
                              <pic:blipFill>
                                <a:blip r:embed="rId12" cstate="print"/>
                                <a:srcRect/>
                                <a:stretch>
                                  <a:fillRect/>
                                </a:stretch>
                              </pic:blipFill>
                              <pic:spPr bwMode="auto">
                                <a:xfrm>
                                  <a:off x="0" y="0"/>
                                  <a:ext cx="2105025" cy="1733550"/>
                                </a:xfrm>
                                <a:prstGeom prst="rect">
                                  <a:avLst/>
                                </a:prstGeom>
                                <a:noFill/>
                                <a:ln w="9525">
                                  <a:noFill/>
                                  <a:miter lim="800000"/>
                                  <a:headEnd/>
                                  <a:tailEnd/>
                                </a:ln>
                              </pic:spPr>
                            </pic:pic>
                          </a:graphicData>
                        </a:graphic>
                      </wp:inline>
                    </w:drawing>
                  </w:r>
                </w:p>
              </w:tc>
              <w:tc>
                <w:tcPr>
                  <w:tcW w:w="0" w:type="auto"/>
                  <w:gridSpan w:val="3"/>
                  <w:tcMar>
                    <w:top w:w="75" w:type="dxa"/>
                    <w:left w:w="75" w:type="dxa"/>
                    <w:bottom w:w="75" w:type="dxa"/>
                    <w:right w:w="75" w:type="dxa"/>
                  </w:tcMar>
                </w:tcPr>
                <w:p w:rsidR="00FD0960" w:rsidRDefault="00FD0960">
                  <w:pPr>
                    <w:spacing w:before="100" w:beforeAutospacing="1" w:after="100" w:afterAutospacing="1"/>
                    <w:rPr>
                      <w:lang w:eastAsia="en-US"/>
                    </w:rPr>
                  </w:pPr>
                </w:p>
                <w:p w:rsidR="00FD0960" w:rsidRPr="00FD0960" w:rsidRDefault="00FD0960">
                  <w:pPr>
                    <w:spacing w:before="100" w:beforeAutospacing="1" w:after="100" w:afterAutospacing="1"/>
                    <w:jc w:val="both"/>
                    <w:rPr>
                      <w:lang w:val="en-US" w:eastAsia="en-US"/>
                    </w:rPr>
                  </w:pPr>
                  <w:r w:rsidRPr="00FD0960">
                    <w:rPr>
                      <w:rFonts w:ascii="Arial" w:hAnsi="Arial" w:cs="Arial"/>
                      <w:b/>
                      <w:bCs/>
                      <w:sz w:val="20"/>
                      <w:szCs w:val="20"/>
                      <w:lang w:val="en-US" w:eastAsia="en-US"/>
                    </w:rPr>
                    <w:t xml:space="preserve">With   </w:t>
                  </w:r>
                  <w:r w:rsidRPr="00FD0960">
                    <w:rPr>
                      <w:rFonts w:ascii="Arial" w:hAnsi="Arial" w:cs="Arial"/>
                      <w:b/>
                      <w:bCs/>
                      <w:color w:val="000000"/>
                      <w:sz w:val="20"/>
                      <w:szCs w:val="20"/>
                      <w:lang w:val="en-US" w:eastAsia="en-US"/>
                    </w:rPr>
                    <w:t>60 %</w:t>
                  </w:r>
                  <w:r w:rsidRPr="00FD0960">
                    <w:rPr>
                      <w:rFonts w:ascii="Arial" w:hAnsi="Arial" w:cs="Arial"/>
                      <w:b/>
                      <w:bCs/>
                      <w:color w:val="FF0000"/>
                      <w:sz w:val="20"/>
                      <w:szCs w:val="20"/>
                      <w:lang w:val="en-US" w:eastAsia="en-US"/>
                    </w:rPr>
                    <w:t xml:space="preserve"> </w:t>
                  </w:r>
                  <w:r w:rsidRPr="00FD0960">
                    <w:rPr>
                      <w:rFonts w:ascii="Arial" w:hAnsi="Arial" w:cs="Arial"/>
                      <w:b/>
                      <w:bCs/>
                      <w:sz w:val="20"/>
                      <w:szCs w:val="20"/>
                      <w:lang w:val="en-US" w:eastAsia="en-US"/>
                    </w:rPr>
                    <w:t>of DEFENSE &amp; SECURITY</w:t>
                  </w:r>
                  <w:r w:rsidRPr="00FD0960">
                    <w:rPr>
                      <w:rFonts w:ascii="Arial" w:hAnsi="Arial" w:cs="Arial"/>
                      <w:sz w:val="20"/>
                      <w:szCs w:val="20"/>
                      <w:lang w:val="en-US" w:eastAsia="en-US"/>
                    </w:rPr>
                    <w:t xml:space="preserve"> </w:t>
                  </w:r>
                  <w:r w:rsidRPr="00FD0960">
                    <w:rPr>
                      <w:rFonts w:ascii="Arial" w:hAnsi="Arial" w:cs="Arial"/>
                      <w:b/>
                      <w:bCs/>
                      <w:sz w:val="20"/>
                      <w:szCs w:val="20"/>
                      <w:lang w:val="en-US" w:eastAsia="en-US"/>
                    </w:rPr>
                    <w:t>2015 space already booked or confirmed, you must act soon to get in on the action.  Don’t let this special event pass you by.</w:t>
                  </w:r>
                </w:p>
                <w:p w:rsidR="00FD0960" w:rsidRPr="00FD0960" w:rsidRDefault="00FD0960">
                  <w:pPr>
                    <w:spacing w:before="100" w:beforeAutospacing="1" w:after="100" w:afterAutospacing="1"/>
                    <w:jc w:val="both"/>
                    <w:rPr>
                      <w:lang w:val="en-US" w:eastAsia="en-US"/>
                    </w:rPr>
                  </w:pPr>
                  <w:r w:rsidRPr="00FD0960">
                    <w:rPr>
                      <w:rFonts w:ascii="Arial" w:hAnsi="Arial" w:cs="Arial"/>
                      <w:b/>
                      <w:bCs/>
                      <w:color w:val="FF0000"/>
                      <w:sz w:val="20"/>
                      <w:szCs w:val="20"/>
                      <w:lang w:val="en-US" w:eastAsia="en-US"/>
                    </w:rPr>
                    <w:t>Defense &amp; Security 2015</w:t>
                  </w:r>
                  <w:r w:rsidRPr="00FD0960">
                    <w:rPr>
                      <w:rFonts w:ascii="Arial" w:hAnsi="Arial" w:cs="Arial"/>
                      <w:b/>
                      <w:bCs/>
                      <w:sz w:val="20"/>
                      <w:szCs w:val="20"/>
                      <w:lang w:val="en-US" w:eastAsia="en-US"/>
                    </w:rPr>
                    <w:t xml:space="preserve"> will present a very special window of opportunity to the ASEAN procurement market… so SECURE YOUR PLACE AT THE SHOW TODAY!</w:t>
                  </w:r>
                  <w:r w:rsidRPr="00FD0960">
                    <w:rPr>
                      <w:lang w:val="en-US" w:eastAsia="en-US"/>
                    </w:rPr>
                    <w:br/>
                  </w:r>
                  <w:r w:rsidRPr="00FD0960">
                    <w:rPr>
                      <w:rFonts w:ascii="Arial" w:hAnsi="Arial" w:cs="Arial"/>
                      <w:b/>
                      <w:bCs/>
                      <w:color w:val="FF0000"/>
                      <w:sz w:val="20"/>
                      <w:szCs w:val="20"/>
                      <w:lang w:val="en-US" w:eastAsia="en-US"/>
                    </w:rPr>
                    <w:br/>
                  </w:r>
                  <w:r w:rsidRPr="00FD0960">
                    <w:rPr>
                      <w:rFonts w:ascii="Arial" w:hAnsi="Arial" w:cs="Arial"/>
                      <w:sz w:val="20"/>
                      <w:szCs w:val="20"/>
                      <w:lang w:val="en-US" w:eastAsia="en-US"/>
                    </w:rPr>
                    <w:t xml:space="preserve">Book online now at </w:t>
                  </w:r>
                  <w:proofErr w:type="spellStart"/>
                  <w:r w:rsidRPr="00FD0960">
                    <w:rPr>
                      <w:rFonts w:ascii="Arial" w:hAnsi="Arial" w:cs="Arial"/>
                      <w:sz w:val="20"/>
                      <w:szCs w:val="20"/>
                      <w:lang w:val="en-US" w:eastAsia="en-US"/>
                    </w:rPr>
                    <w:t>at</w:t>
                  </w:r>
                  <w:proofErr w:type="spellEnd"/>
                  <w:r w:rsidRPr="00FD0960">
                    <w:rPr>
                      <w:rFonts w:ascii="Arial" w:hAnsi="Arial" w:cs="Arial"/>
                      <w:sz w:val="20"/>
                      <w:szCs w:val="20"/>
                      <w:lang w:val="en-US" w:eastAsia="en-US"/>
                    </w:rPr>
                    <w:t xml:space="preserve"> : </w:t>
                  </w:r>
                  <w:hyperlink r:id="rId13" w:history="1">
                    <w:r w:rsidRPr="00FD0960">
                      <w:rPr>
                        <w:rStyle w:val="Collegamentoipertestuale"/>
                        <w:rFonts w:ascii="Arial" w:hAnsi="Arial" w:cs="Arial"/>
                        <w:sz w:val="20"/>
                        <w:szCs w:val="20"/>
                        <w:lang w:val="en-US" w:eastAsia="en-US"/>
                      </w:rPr>
                      <w:t>www.asiandefense.com</w:t>
                    </w:r>
                  </w:hyperlink>
                  <w:r w:rsidRPr="00FD0960">
                    <w:rPr>
                      <w:rFonts w:ascii="Arial" w:hAnsi="Arial" w:cs="Arial"/>
                      <w:sz w:val="20"/>
                      <w:szCs w:val="20"/>
                      <w:lang w:val="en-US" w:eastAsia="en-US"/>
                    </w:rPr>
                    <w:t xml:space="preserve"> or contact: + 662 642 6911 ext. 121, </w:t>
                  </w:r>
                  <w:hyperlink r:id="rId14" w:history="1">
                    <w:r w:rsidRPr="00FD0960">
                      <w:rPr>
                        <w:rStyle w:val="Collegamentoipertestuale"/>
                        <w:rFonts w:ascii="Arial" w:hAnsi="Arial" w:cs="Arial"/>
                        <w:color w:val="0000EE"/>
                        <w:sz w:val="20"/>
                        <w:szCs w:val="20"/>
                        <w:u w:val="none"/>
                        <w:lang w:val="en-US" w:eastAsia="en-US"/>
                      </w:rPr>
                      <w:t>info@asiandefense.com</w:t>
                    </w:r>
                  </w:hyperlink>
                </w:p>
              </w:tc>
            </w:tr>
          </w:tbl>
          <w:p w:rsidR="00FD0960" w:rsidRPr="00FD0960" w:rsidRDefault="00FD0960">
            <w:pPr>
              <w:jc w:val="both"/>
              <w:rPr>
                <w:rFonts w:eastAsia="Times New Roman"/>
                <w:vanish/>
                <w:sz w:val="15"/>
                <w:szCs w:val="15"/>
                <w:lang w:val="en-US" w:eastAsia="en-US"/>
              </w:rPr>
            </w:pPr>
          </w:p>
          <w:tbl>
            <w:tblPr>
              <w:tblW w:w="10350" w:type="dxa"/>
              <w:jc w:val="center"/>
              <w:tblCellSpacing w:w="0" w:type="dxa"/>
              <w:tblCellMar>
                <w:left w:w="0" w:type="dxa"/>
                <w:right w:w="0" w:type="dxa"/>
              </w:tblCellMar>
              <w:tblLook w:val="04A0"/>
            </w:tblPr>
            <w:tblGrid>
              <w:gridCol w:w="10350"/>
            </w:tblGrid>
            <w:tr w:rsidR="00FD0960" w:rsidRPr="00FD0960">
              <w:trPr>
                <w:trHeight w:val="516"/>
                <w:tblCellSpacing w:w="0" w:type="dxa"/>
                <w:jc w:val="center"/>
                <w:hidden/>
              </w:trPr>
              <w:tc>
                <w:tcPr>
                  <w:tcW w:w="300" w:type="dxa"/>
                  <w:vMerge w:val="restart"/>
                  <w:vAlign w:val="center"/>
                  <w:hideMark/>
                </w:tcPr>
                <w:p w:rsidR="00FD0960" w:rsidRPr="00FD0960" w:rsidRDefault="00FD0960">
                  <w:pPr>
                    <w:spacing w:after="240"/>
                    <w:rPr>
                      <w:rFonts w:eastAsia="Times New Roman"/>
                      <w:vanish/>
                      <w:lang w:val="en-US" w:eastAsia="en-US"/>
                    </w:rPr>
                  </w:pPr>
                  <w:r w:rsidRPr="00FD0960">
                    <w:rPr>
                      <w:rFonts w:eastAsia="Times New Roman"/>
                      <w:vanish/>
                      <w:lang w:val="en-US" w:eastAsia="en-US"/>
                    </w:rPr>
                    <w:t> </w:t>
                  </w:r>
                  <w:r w:rsidRPr="00FD0960">
                    <w:rPr>
                      <w:rFonts w:eastAsia="Times New Roman"/>
                      <w:vanish/>
                      <w:lang w:val="en-US" w:eastAsia="en-US"/>
                    </w:rPr>
                    <w:br/>
                  </w:r>
                  <w:r w:rsidRPr="00FD0960">
                    <w:rPr>
                      <w:rFonts w:eastAsia="Times New Roman"/>
                      <w:vanish/>
                      <w:lang w:val="en-US" w:eastAsia="en-US"/>
                    </w:rPr>
                    <w:br/>
                  </w:r>
                </w:p>
              </w:tc>
            </w:tr>
            <w:tr w:rsidR="00FD0960" w:rsidRPr="00FD0960">
              <w:trPr>
                <w:trHeight w:val="276"/>
                <w:tblCellSpacing w:w="0" w:type="dxa"/>
                <w:jc w:val="center"/>
                <w:hidden/>
              </w:trPr>
              <w:tc>
                <w:tcPr>
                  <w:tcW w:w="0" w:type="auto"/>
                  <w:vMerge/>
                  <w:vAlign w:val="center"/>
                  <w:hideMark/>
                </w:tcPr>
                <w:p w:rsidR="00FD0960" w:rsidRPr="00FD0960" w:rsidRDefault="00FD0960">
                  <w:pPr>
                    <w:rPr>
                      <w:rFonts w:eastAsia="Times New Roman"/>
                      <w:vanish/>
                      <w:lang w:val="en-US" w:eastAsia="en-US"/>
                    </w:rPr>
                  </w:pPr>
                </w:p>
              </w:tc>
            </w:tr>
          </w:tbl>
          <w:p w:rsidR="00FD0960" w:rsidRDefault="00FD0960">
            <w:pPr>
              <w:jc w:val="both"/>
              <w:rPr>
                <w:rFonts w:eastAsia="Times New Roman"/>
                <w:vanish/>
                <w:sz w:val="15"/>
                <w:szCs w:val="15"/>
                <w:lang w:eastAsia="en-US"/>
              </w:rPr>
            </w:pPr>
          </w:p>
          <w:tbl>
            <w:tblPr>
              <w:tblW w:w="10860" w:type="dxa"/>
              <w:jc w:val="center"/>
              <w:tblCellSpacing w:w="0" w:type="dxa"/>
              <w:tblCellMar>
                <w:left w:w="0" w:type="dxa"/>
                <w:right w:w="0" w:type="dxa"/>
              </w:tblCellMar>
              <w:tblLook w:val="04A0"/>
            </w:tblPr>
            <w:tblGrid>
              <w:gridCol w:w="12030"/>
            </w:tblGrid>
            <w:tr w:rsidR="00FD0960" w:rsidRPr="00FD0960">
              <w:trPr>
                <w:tblCellSpacing w:w="0" w:type="dxa"/>
                <w:jc w:val="center"/>
              </w:trPr>
              <w:tc>
                <w:tcPr>
                  <w:tcW w:w="0" w:type="auto"/>
                  <w:vAlign w:val="center"/>
                  <w:hideMark/>
                </w:tcPr>
                <w:p w:rsidR="00FD0960" w:rsidRPr="00FD0960" w:rsidRDefault="00FD0960">
                  <w:pPr>
                    <w:spacing w:after="240"/>
                    <w:jc w:val="right"/>
                    <w:rPr>
                      <w:rFonts w:eastAsia="Times New Roman"/>
                      <w:lang w:val="en-US" w:eastAsia="en-US"/>
                    </w:rPr>
                  </w:pPr>
                  <w:r>
                    <w:rPr>
                      <w:rFonts w:eastAsia="Times New Roman"/>
                      <w:lang w:eastAsia="en-US"/>
                    </w:rPr>
                    <w:fldChar w:fldCharType="begin"/>
                  </w:r>
                  <w:r w:rsidRPr="00FD0960">
                    <w:rPr>
                      <w:rFonts w:eastAsia="Times New Roman"/>
                      <w:lang w:val="en-US" w:eastAsia="en-US"/>
                    </w:rPr>
                    <w:instrText xml:space="preserve"> INCLUDEPICTURE "C:\\Users\\bantawan\\Desktop\\DS Footage-enew2015-01.jpg" \* MERGEFORMATINET </w:instrText>
                  </w:r>
                  <w:r>
                    <w:rPr>
                      <w:rFonts w:eastAsia="Times New Roman"/>
                      <w:lang w:eastAsia="en-US"/>
                    </w:rPr>
                    <w:fldChar w:fldCharType="separate"/>
                  </w:r>
                  <w:r>
                    <w:rPr>
                      <w:rFonts w:eastAsia="Times New Roman"/>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Pr>
                      <w:rFonts w:eastAsia="Times New Roman"/>
                      <w:lang w:eastAsia="en-US"/>
                    </w:rPr>
                    <w:fldChar w:fldCharType="end"/>
                  </w:r>
                  <w:r>
                    <w:rPr>
                      <w:rFonts w:eastAsia="Times New Roman"/>
                      <w:noProof/>
                      <w:color w:val="0000FF"/>
                    </w:rPr>
                    <w:drawing>
                      <wp:inline distT="0" distB="0" distL="0" distR="0">
                        <wp:extent cx="7620000" cy="1019175"/>
                        <wp:effectExtent l="19050" t="0" r="0" b="0"/>
                        <wp:docPr id="320" name="Immagine 320" descr="http://news.ubmthailand.com/Newsletter/2014/ISF/DS%20Footage-enew-july-01-re.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news.ubmthailand.com/Newsletter/2014/ISF/DS%20Footage-enew-july-01-re.JPG"/>
                                <pic:cNvPicPr>
                                  <a:picLocks noChangeAspect="1" noChangeArrowheads="1"/>
                                </pic:cNvPicPr>
                              </pic:nvPicPr>
                              <pic:blipFill>
                                <a:blip r:embed="rId16" cstate="print"/>
                                <a:srcRect/>
                                <a:stretch>
                                  <a:fillRect/>
                                </a:stretch>
                              </pic:blipFill>
                              <pic:spPr bwMode="auto">
                                <a:xfrm>
                                  <a:off x="0" y="0"/>
                                  <a:ext cx="7620000" cy="1019175"/>
                                </a:xfrm>
                                <a:prstGeom prst="rect">
                                  <a:avLst/>
                                </a:prstGeom>
                                <a:noFill/>
                                <a:ln w="9525">
                                  <a:noFill/>
                                  <a:miter lim="800000"/>
                                  <a:headEnd/>
                                  <a:tailEnd/>
                                </a:ln>
                              </pic:spPr>
                            </pic:pic>
                          </a:graphicData>
                        </a:graphic>
                      </wp:inline>
                    </w:drawing>
                  </w:r>
                  <w:r w:rsidRPr="00FD0960">
                    <w:rPr>
                      <w:rFonts w:eastAsia="Times New Roman"/>
                      <w:lang w:val="en-US" w:eastAsia="en-US"/>
                    </w:rPr>
                    <w:br/>
                  </w:r>
                  <w:r w:rsidRPr="00FD0960">
                    <w:rPr>
                      <w:rFonts w:eastAsia="Times New Roman"/>
                      <w:lang w:val="en-US" w:eastAsia="en-US"/>
                    </w:rPr>
                    <w:br/>
                  </w:r>
                  <w:r w:rsidRPr="00FD0960">
                    <w:rPr>
                      <w:rStyle w:val="footer"/>
                      <w:rFonts w:ascii="Arial" w:eastAsia="Times New Roman" w:hAnsi="Arial" w:cs="Arial"/>
                      <w:color w:val="666666"/>
                      <w:sz w:val="15"/>
                      <w:szCs w:val="15"/>
                      <w:lang w:val="en-US" w:eastAsia="en-US"/>
                    </w:rPr>
                    <w:t xml:space="preserve">© Copyrights 2014. All rights reserved by GML Exhibition (Thailand) </w:t>
                  </w:r>
                  <w:proofErr w:type="spellStart"/>
                  <w:r w:rsidRPr="00FD0960">
                    <w:rPr>
                      <w:rStyle w:val="footer"/>
                      <w:rFonts w:ascii="Arial" w:eastAsia="Times New Roman" w:hAnsi="Arial" w:cs="Arial"/>
                      <w:color w:val="666666"/>
                      <w:sz w:val="15"/>
                      <w:szCs w:val="15"/>
                      <w:lang w:val="en-US" w:eastAsia="en-US"/>
                    </w:rPr>
                    <w:t>Co.,Ltd</w:t>
                  </w:r>
                  <w:proofErr w:type="spellEnd"/>
                  <w:r w:rsidRPr="00FD0960">
                    <w:rPr>
                      <w:rStyle w:val="footer"/>
                      <w:rFonts w:ascii="Arial" w:eastAsia="Times New Roman" w:hAnsi="Arial" w:cs="Arial"/>
                      <w:color w:val="666666"/>
                      <w:sz w:val="15"/>
                      <w:szCs w:val="15"/>
                      <w:lang w:val="en-US" w:eastAsia="en-US"/>
                    </w:rPr>
                    <w:t>.</w:t>
                  </w:r>
                </w:p>
              </w:tc>
            </w:tr>
          </w:tbl>
          <w:p w:rsidR="00FD0960" w:rsidRPr="00FD0960" w:rsidRDefault="00FD0960">
            <w:pPr>
              <w:jc w:val="center"/>
              <w:rPr>
                <w:rFonts w:asciiTheme="minorHAnsi" w:hAnsiTheme="minorHAnsi" w:cstheme="minorBidi"/>
                <w:sz w:val="22"/>
                <w:szCs w:val="22"/>
                <w:lang w:val="en-US" w:eastAsia="en-US"/>
              </w:rPr>
            </w:pPr>
          </w:p>
        </w:tc>
      </w:tr>
    </w:tbl>
    <w:p w:rsidR="006543EE" w:rsidRPr="00143983" w:rsidRDefault="006543EE" w:rsidP="00FD0960">
      <w:pPr>
        <w:outlineLvl w:val="0"/>
        <w:rPr>
          <w:lang w:val="en-US"/>
        </w:rPr>
      </w:pPr>
    </w:p>
    <w:sectPr w:rsidR="006543EE" w:rsidRPr="00143983" w:rsidSect="006543EE">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143983"/>
    <w:rsid w:val="00143983"/>
    <w:rsid w:val="006543EE"/>
    <w:rsid w:val="00FD096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3983"/>
    <w:pPr>
      <w:spacing w:after="0" w:line="240" w:lineRule="auto"/>
    </w:pPr>
    <w:rPr>
      <w:rFonts w:ascii="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143983"/>
    <w:rPr>
      <w:color w:val="0000FF"/>
      <w:u w:val="single"/>
    </w:rPr>
  </w:style>
  <w:style w:type="character" w:customStyle="1" w:styleId="st1">
    <w:name w:val="st1"/>
    <w:basedOn w:val="Carpredefinitoparagrafo"/>
    <w:rsid w:val="00143983"/>
  </w:style>
  <w:style w:type="character" w:customStyle="1" w:styleId="footer">
    <w:name w:val="footer"/>
    <w:basedOn w:val="Carpredefinitoparagrafo"/>
    <w:rsid w:val="00143983"/>
  </w:style>
  <w:style w:type="paragraph" w:styleId="Testofumetto">
    <w:name w:val="Balloon Text"/>
    <w:basedOn w:val="Normale"/>
    <w:link w:val="TestofumettoCarattere"/>
    <w:uiPriority w:val="99"/>
    <w:semiHidden/>
    <w:unhideWhenUsed/>
    <w:rsid w:val="0014398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43983"/>
    <w:rPr>
      <w:rFonts w:ascii="Tahoma" w:hAnsi="Tahoma" w:cs="Tahoma"/>
      <w:sz w:val="16"/>
      <w:szCs w:val="16"/>
      <w:lang w:eastAsia="it-IT"/>
    </w:rPr>
  </w:style>
</w:styles>
</file>

<file path=word/webSettings.xml><?xml version="1.0" encoding="utf-8"?>
<w:webSettings xmlns:r="http://schemas.openxmlformats.org/officeDocument/2006/relationships" xmlns:w="http://schemas.openxmlformats.org/wordprocessingml/2006/main">
  <w:divs>
    <w:div w:id="676926642">
      <w:bodyDiv w:val="1"/>
      <w:marLeft w:val="0"/>
      <w:marRight w:val="0"/>
      <w:marTop w:val="0"/>
      <w:marBottom w:val="0"/>
      <w:divBdr>
        <w:top w:val="none" w:sz="0" w:space="0" w:color="auto"/>
        <w:left w:val="none" w:sz="0" w:space="0" w:color="auto"/>
        <w:bottom w:val="none" w:sz="0" w:space="0" w:color="auto"/>
        <w:right w:val="none" w:sz="0" w:space="0" w:color="auto"/>
      </w:divBdr>
    </w:div>
    <w:div w:id="1128817292">
      <w:bodyDiv w:val="1"/>
      <w:marLeft w:val="0"/>
      <w:marRight w:val="0"/>
      <w:marTop w:val="0"/>
      <w:marBottom w:val="0"/>
      <w:divBdr>
        <w:top w:val="none" w:sz="0" w:space="0" w:color="auto"/>
        <w:left w:val="none" w:sz="0" w:space="0" w:color="auto"/>
        <w:bottom w:val="none" w:sz="0" w:space="0" w:color="auto"/>
        <w:right w:val="none" w:sz="0" w:space="0" w:color="auto"/>
      </w:divBdr>
    </w:div>
    <w:div w:id="180905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online.ubmthailand.com/c/1uyURNPEF3UdnWqFZV9tlJGhwv"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online.ubmthailand.com/c/1uyUK16ZPTpfWSSwQn4WWXnWBi" TargetMode="External"/><Relationship Id="rId5" Type="http://schemas.openxmlformats.org/officeDocument/2006/relationships/hyperlink" Target="http://online.ubmthailand.com/c/1uyUurFGbypl4LMexgVU9oNgKS" TargetMode="External"/><Relationship Id="rId15" Type="http://schemas.openxmlformats.org/officeDocument/2006/relationships/hyperlink" Target="http://online.ubmthailand.com/c/1uyUZAyjuepaOZYP9tdZKvYCrI" TargetMode="External"/><Relationship Id="rId10" Type="http://schemas.openxmlformats.org/officeDocument/2006/relationships/image" Target="media/image4.jpeg"/><Relationship Id="rId4" Type="http://schemas.openxmlformats.org/officeDocument/2006/relationships/hyperlink" Target="mailto:mail.buvqkthebvoxkihjhrk@online.ubmthailand.com" TargetMode="External"/><Relationship Id="rId9" Type="http://schemas.openxmlformats.org/officeDocument/2006/relationships/hyperlink" Target="http://online.ubmthailand.com/c/1uyUCeol0IUivPknGP0qyb5BG5" TargetMode="External"/><Relationship Id="rId14" Type="http://schemas.openxmlformats.org/officeDocument/2006/relationships/hyperlink" Target="mailto:info@asiandefense.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461</Words>
  <Characters>2631</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 Rana</dc:creator>
  <cp:keywords/>
  <dc:description/>
  <cp:lastModifiedBy>Lucia Rana</cp:lastModifiedBy>
  <cp:revision>2</cp:revision>
  <dcterms:created xsi:type="dcterms:W3CDTF">2014-07-22T12:37:00Z</dcterms:created>
  <dcterms:modified xsi:type="dcterms:W3CDTF">2014-07-22T12:54:00Z</dcterms:modified>
</cp:coreProperties>
</file>