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134"/>
        <w:gridCol w:w="425"/>
        <w:gridCol w:w="1418"/>
        <w:gridCol w:w="1028"/>
        <w:gridCol w:w="2090"/>
      </w:tblGrid>
      <w:tr w:rsidR="00CE3C63" w:rsidRPr="00173906" w:rsidTr="00203A59">
        <w:trPr>
          <w:trHeight w:val="2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07F37" w:rsidP="00CE3C6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</w:pPr>
            <w:r w:rsidRPr="00C07F37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77.25pt;margin-top:-72.5pt;width:328.0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" filled="f" stroked="f">
                  <v:textbox>
                    <w:txbxContent>
                      <w:p w:rsidR="00546D92" w:rsidRPr="00173906" w:rsidRDefault="00355552" w:rsidP="00546D92">
                        <w:pPr>
                          <w:pStyle w:val="Nessunaspaziatura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  <w:t>INTERNET</w:t>
                        </w:r>
                        <w:r w:rsidR="00BE55FC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  <w:lang w:val="en-US"/>
                          </w:rPr>
                          <w:t xml:space="preserve"> SERVICES</w:t>
                        </w:r>
                      </w:p>
                      <w:p w:rsidR="00173906" w:rsidRPr="00173906" w:rsidRDefault="00173906" w:rsidP="00546D92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Please send email to:</w:t>
                        </w:r>
                      </w:p>
                      <w:p w:rsidR="00557AD1" w:rsidRPr="00022991" w:rsidRDefault="00CE08EC" w:rsidP="00546D92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</w:pPr>
                        <w:r w:rsidRPr="00022991"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  <w:t xml:space="preserve">Cartagena </w:t>
                        </w:r>
                        <w:proofErr w:type="spellStart"/>
                        <w:r w:rsidRPr="00022991">
                          <w:rPr>
                            <w:rFonts w:ascii="Century Gothic" w:hAnsi="Century Gothic"/>
                            <w:sz w:val="16"/>
                            <w:szCs w:val="16"/>
                            <w:lang w:val="it-IT"/>
                          </w:rPr>
                          <w:t>Mágica</w:t>
                        </w:r>
                        <w:proofErr w:type="spellEnd"/>
                      </w:p>
                      <w:p w:rsidR="00FA0617" w:rsidRPr="00173906" w:rsidRDefault="00FA0617" w:rsidP="00546D92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Cartagena de Indias </w:t>
                        </w:r>
                        <w:r w:rsidR="00173906" w:rsidRPr="00173906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-</w:t>
                        </w:r>
                        <w:r w:rsidRPr="00173906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Colombia.</w:t>
                        </w:r>
                      </w:p>
                      <w:p w:rsidR="00FA0617" w:rsidRPr="00CE08EC" w:rsidRDefault="00173906" w:rsidP="00546D92">
                        <w:pPr>
                          <w:pStyle w:val="Nessunaspaziatura"/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</w:pPr>
                        <w:r w:rsidRPr="00CE08EC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E.m</w:t>
                        </w:r>
                        <w:r w:rsidR="00CE08EC" w:rsidRPr="00CE08EC">
                          <w:rPr>
                            <w:rFonts w:ascii="Century Gothic" w:hAnsi="Century Gothic"/>
                            <w:sz w:val="16"/>
                            <w:szCs w:val="16"/>
                            <w:lang w:val="en-US"/>
                          </w:rPr>
                          <w:t>ail: info@cartagenamagica.com.co</w:t>
                        </w:r>
                      </w:p>
                    </w:txbxContent>
                  </v:textbox>
                </v:shape>
              </w:pict>
            </w:r>
            <w:r w:rsidR="00173906" w:rsidRPr="00173906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NAME OF THE EVENT:</w:t>
            </w:r>
            <w:r w:rsidR="00022991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 xml:space="preserve"> INTERPOL 82ND GA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DATE:</w:t>
            </w:r>
            <w:r w:rsidR="0002299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09/10/2013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STAND #</w:t>
            </w:r>
            <w:r w:rsidR="0002299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13</w:t>
            </w:r>
          </w:p>
        </w:tc>
      </w:tr>
      <w:tr w:rsidR="00CE3C63" w:rsidRPr="00173906" w:rsidTr="00203A59">
        <w:trPr>
          <w:trHeight w:val="2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EXHIBITOR:</w:t>
            </w:r>
            <w:r w:rsidR="0002299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HT SRL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</w:t>
            </w:r>
            <w:r w:rsidR="00173906"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EXHIBITION HALL: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</w:p>
        </w:tc>
      </w:tr>
      <w:tr w:rsidR="00173906" w:rsidRPr="00173906" w:rsidTr="00411C72">
        <w:trPr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ADDRESS:</w:t>
            </w:r>
          </w:p>
          <w:p w:rsidR="00022991" w:rsidRPr="00173906" w:rsidRDefault="00022991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VIA MOSCOVA, 13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3906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CITY</w:t>
            </w:r>
          </w:p>
          <w:p w:rsidR="00173906" w:rsidRPr="00173906" w:rsidRDefault="00022991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MILANO</w:t>
            </w:r>
          </w:p>
          <w:p w:rsidR="00173906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 </w:t>
            </w:r>
          </w:p>
        </w:tc>
      </w:tr>
      <w:tr w:rsidR="00CE3C63" w:rsidRPr="00173906" w:rsidTr="00203A59">
        <w:trPr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TEL</w:t>
            </w:r>
            <w:r w:rsidR="00173906"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EPHONE:</w:t>
            </w:r>
            <w:r w:rsidR="0002299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0039 02.29060603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CE3C63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FAX</w:t>
            </w:r>
            <w:r w:rsidR="00173906"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:</w:t>
            </w:r>
            <w:r w:rsidR="0002299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0039 02.63118946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Default="00CE3C63" w:rsidP="00CE3C6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E-MAIL </w:t>
            </w:r>
            <w:hyperlink r:id="rId7" w:history="1">
              <w:r w:rsidR="00022991" w:rsidRPr="00CA51C2">
                <w:rPr>
                  <w:rStyle w:val="Collegamentoipertestuale"/>
                  <w:rFonts w:ascii="Century Gothic" w:eastAsia="Times New Roman" w:hAnsi="Century Gothic" w:cs="Calibri"/>
                  <w:sz w:val="16"/>
                  <w:szCs w:val="16"/>
                  <w:lang w:val="en-US" w:eastAsia="es-CO"/>
                </w:rPr>
                <w:t>s.gallucci</w:t>
              </w:r>
              <w:r w:rsidR="00022991" w:rsidRPr="00CA51C2">
                <w:rPr>
                  <w:rStyle w:val="Collegamentoipertestuale"/>
                  <w:rFonts w:ascii="Century Gothic" w:hAnsi="Century Gothic"/>
                  <w:sz w:val="16"/>
                  <w:szCs w:val="16"/>
                  <w:lang w:val="en-US"/>
                </w:rPr>
                <w:t>@hackingteam.com</w:t>
              </w:r>
            </w:hyperlink>
          </w:p>
          <w:p w:rsidR="00022991" w:rsidRPr="00173906" w:rsidRDefault="00022991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hyperlink r:id="rId8" w:history="1">
              <w:r w:rsidRPr="00CA51C2">
                <w:rPr>
                  <w:rStyle w:val="Collegamentoipertestuale"/>
                  <w:rFonts w:ascii="Century Gothic" w:hAnsi="Century Gothic"/>
                  <w:sz w:val="16"/>
                  <w:szCs w:val="16"/>
                  <w:lang w:val="en-US"/>
                </w:rPr>
                <w:t>m.bettini@hackingteam.com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</w:tr>
      <w:tr w:rsidR="00CE3C63" w:rsidRPr="00173906" w:rsidTr="00203A59">
        <w:trPr>
          <w:trHeight w:val="29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CONTACT: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CE3C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SIGNED:</w:t>
            </w:r>
          </w:p>
        </w:tc>
      </w:tr>
      <w:tr w:rsidR="00CE3C63" w:rsidRPr="00663EED" w:rsidTr="00203A59">
        <w:trPr>
          <w:trHeight w:val="1013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C63" w:rsidRPr="00173906" w:rsidRDefault="00173906" w:rsidP="00E346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</w:pP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IMPORTANT: 1) In line with the procedures a</w:t>
            </w:r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nd policies of Cartagena </w:t>
            </w:r>
            <w:proofErr w:type="spellStart"/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,</w:t>
            </w:r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these services need to be paid for in advance. 2) All services required need to be confirmed 5 days before the event begins. 3) In l</w:t>
            </w:r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ine with the policies of Cartagena </w:t>
            </w:r>
            <w:proofErr w:type="spellStart"/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, food and drink cannot be brought in to the convention centre. Likewise no food and drink ca</w:t>
            </w:r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n be taken out. 4) Cartagena </w:t>
            </w:r>
            <w:proofErr w:type="spellStart"/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 maintains its right of entry for all external services and equipment and will charge an additional 30% for equipment and services used by exhibito</w:t>
            </w:r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 xml:space="preserve">rs that are not provided by Cartagena </w:t>
            </w:r>
            <w:proofErr w:type="spellStart"/>
            <w:r w:rsidR="00CE08E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Mágica</w:t>
            </w:r>
            <w:proofErr w:type="spellEnd"/>
            <w:r w:rsidRPr="001739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s-CO"/>
              </w:rPr>
              <w:t>.</w:t>
            </w:r>
          </w:p>
        </w:tc>
      </w:tr>
    </w:tbl>
    <w:p w:rsidR="0092226C" w:rsidRDefault="0092226C">
      <w:pPr>
        <w:rPr>
          <w:rFonts w:ascii="Century Gothic" w:hAnsi="Century Gothic"/>
          <w:sz w:val="16"/>
          <w:szCs w:val="16"/>
          <w:lang w:val="en-US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2552"/>
        <w:gridCol w:w="1276"/>
        <w:gridCol w:w="2976"/>
      </w:tblGrid>
      <w:tr w:rsidR="008904A8" w:rsidRPr="008904A8" w:rsidTr="008904A8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>Mode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 xml:space="preserve">BW Megabyte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>Number of Days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en-US" w:eastAsia="es-ES"/>
              </w:rPr>
              <w:t>Value</w:t>
            </w:r>
          </w:p>
        </w:tc>
      </w:tr>
      <w:tr w:rsidR="008904A8" w:rsidRPr="008904A8" w:rsidTr="008904A8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Mode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  <w:r w:rsidR="00022991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022991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022991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631+ VAT = 731,96</w:t>
            </w:r>
          </w:p>
        </w:tc>
      </w:tr>
      <w:tr w:rsidR="008904A8" w:rsidRPr="008904A8" w:rsidTr="008904A8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Mode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</w:tr>
      <w:tr w:rsidR="008904A8" w:rsidRPr="008904A8" w:rsidTr="008904A8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Mode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</w:tr>
      <w:tr w:rsidR="008904A8" w:rsidRPr="008904A8" w:rsidTr="008904A8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Mode4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A8" w:rsidRPr="008904A8" w:rsidRDefault="008904A8" w:rsidP="00890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</w:pPr>
            <w:r w:rsidRPr="008904A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en-US" w:eastAsia="es-ES"/>
              </w:rPr>
              <w:t> </w:t>
            </w:r>
          </w:p>
        </w:tc>
      </w:tr>
    </w:tbl>
    <w:p w:rsidR="0092226C" w:rsidRDefault="0092226C">
      <w:pPr>
        <w:rPr>
          <w:rFonts w:ascii="Century Gothic" w:hAnsi="Century Gothic"/>
          <w:sz w:val="16"/>
          <w:szCs w:val="16"/>
          <w:lang w:val="en-US"/>
        </w:rPr>
      </w:pPr>
    </w:p>
    <w:p w:rsidR="00A121E3" w:rsidRPr="00A121E3" w:rsidRDefault="00A121E3" w:rsidP="00A121E3">
      <w:pPr>
        <w:rPr>
          <w:rFonts w:ascii="Century Gothic" w:hAnsi="Century Gothic"/>
          <w:b/>
          <w:sz w:val="16"/>
          <w:szCs w:val="16"/>
          <w:u w:val="single"/>
          <w:lang w:val="en-US"/>
        </w:rPr>
      </w:pPr>
      <w:r w:rsidRPr="00A121E3">
        <w:rPr>
          <w:rFonts w:ascii="Century Gothic" w:hAnsi="Century Gothic"/>
          <w:b/>
          <w:sz w:val="16"/>
          <w:szCs w:val="16"/>
          <w:u w:val="single"/>
          <w:lang w:val="en-US"/>
        </w:rPr>
        <w:t>INTERNET SERVICE DEDICATED CHART</w:t>
      </w:r>
    </w:p>
    <w:p w:rsidR="00A121E3" w:rsidRPr="00A121E3" w:rsidRDefault="00A121E3" w:rsidP="00A121E3">
      <w:pPr>
        <w:rPr>
          <w:rFonts w:ascii="Century Gothic" w:hAnsi="Century Gothic"/>
          <w:b/>
          <w:sz w:val="16"/>
          <w:szCs w:val="16"/>
          <w:u w:val="single"/>
          <w:lang w:val="en-US"/>
        </w:rPr>
      </w:pPr>
    </w:p>
    <w:p w:rsidR="00A121E3" w:rsidRPr="00A121E3" w:rsidRDefault="00A121E3" w:rsidP="00A121E3">
      <w:pPr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Mode</w:t>
      </w:r>
      <w:r w:rsidRPr="00A121E3">
        <w:rPr>
          <w:rFonts w:ascii="Century Gothic" w:hAnsi="Century Gothic"/>
          <w:b/>
          <w:sz w:val="16"/>
          <w:szCs w:val="16"/>
          <w:lang w:val="en-US"/>
        </w:rPr>
        <w:t xml:space="preserve"> No.  1 (20 users per MB, basic navigation, webmail, Outlook, WIFI in one space, two access cable into two different spaces of the same channel as feasibility), in USD$:</w:t>
      </w:r>
    </w:p>
    <w:tbl>
      <w:tblPr>
        <w:tblW w:w="109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7"/>
      </w:tblGrid>
      <w:tr w:rsidR="00A121E3" w:rsidRPr="00663EED" w:rsidTr="00530CC7">
        <w:trPr>
          <w:trHeight w:val="104"/>
        </w:trPr>
        <w:tc>
          <w:tcPr>
            <w:tcW w:w="10978" w:type="dxa"/>
            <w:gridSpan w:val="10"/>
          </w:tcPr>
          <w:tbl>
            <w:tblPr>
              <w:tblW w:w="944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440"/>
            </w:tblGrid>
            <w:tr w:rsidR="00022991" w:rsidRPr="00AA7C99" w:rsidTr="00901040">
              <w:trPr>
                <w:trHeight w:val="221"/>
              </w:trPr>
              <w:tc>
                <w:tcPr>
                  <w:tcW w:w="9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2991" w:rsidRPr="00AA7C99" w:rsidRDefault="00022991" w:rsidP="0090104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</w:pPr>
                  <w:r w:rsidRPr="00AA7C99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  <w:t xml:space="preserve">Payment Options: </w:t>
                  </w:r>
                </w:p>
              </w:tc>
            </w:tr>
            <w:tr w:rsidR="00022991" w:rsidRPr="00AA7C99" w:rsidTr="00901040">
              <w:trPr>
                <w:trHeight w:val="221"/>
              </w:trPr>
              <w:tc>
                <w:tcPr>
                  <w:tcW w:w="9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2991" w:rsidRPr="00AA7C99" w:rsidRDefault="00022991" w:rsidP="0090104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</w:pPr>
                </w:p>
              </w:tc>
            </w:tr>
            <w:tr w:rsidR="00022991" w:rsidRPr="00663EED" w:rsidTr="00901040">
              <w:trPr>
                <w:trHeight w:val="280"/>
              </w:trPr>
              <w:tc>
                <w:tcPr>
                  <w:tcW w:w="9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2991" w:rsidRPr="00AA7C99" w:rsidRDefault="00022991" w:rsidP="0090104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</w:pPr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 xml:space="preserve">Option 1: Credit Card: Send a copy of the credit card (both sides), photocopy of your ID and a signed copy of the credit card payment authorization form. </w:t>
                  </w:r>
                </w:p>
              </w:tc>
            </w:tr>
            <w:tr w:rsidR="00022991" w:rsidRPr="00663EED" w:rsidTr="00901040">
              <w:trPr>
                <w:trHeight w:val="210"/>
              </w:trPr>
              <w:tc>
                <w:tcPr>
                  <w:tcW w:w="9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2991" w:rsidRPr="00AA7C99" w:rsidRDefault="00022991" w:rsidP="0090104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</w:pPr>
                </w:p>
              </w:tc>
            </w:tr>
            <w:tr w:rsidR="00022991" w:rsidRPr="00663EED" w:rsidTr="00901040">
              <w:trPr>
                <w:trHeight w:val="280"/>
              </w:trPr>
              <w:tc>
                <w:tcPr>
                  <w:tcW w:w="9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2991" w:rsidRPr="00AA7C99" w:rsidRDefault="00022991" w:rsidP="0090104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</w:pPr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 xml:space="preserve">Option 2: Bank Transfer: Deposit the money in the </w:t>
                  </w:r>
                  <w:proofErr w:type="spellStart"/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>Bancolombia</w:t>
                  </w:r>
                  <w:proofErr w:type="spellEnd"/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 xml:space="preserve"> current account No. 08560637254. Account Name: </w:t>
                  </w:r>
                  <w:proofErr w:type="spellStart"/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>Grupo</w:t>
                  </w:r>
                  <w:proofErr w:type="spellEnd"/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 xml:space="preserve"> </w:t>
                  </w:r>
                  <w:proofErr w:type="spellStart"/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>Heroica</w:t>
                  </w:r>
                  <w:proofErr w:type="spellEnd"/>
                  <w:r w:rsidRPr="00AA7C99"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  <w:t xml:space="preserve"> SAS. Send a photocopy of the deposit slip to confirm your request.</w:t>
                  </w:r>
                </w:p>
              </w:tc>
            </w:tr>
            <w:tr w:rsidR="00022991" w:rsidRPr="00663EED" w:rsidTr="00901040">
              <w:trPr>
                <w:trHeight w:val="196"/>
              </w:trPr>
              <w:tc>
                <w:tcPr>
                  <w:tcW w:w="9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2991" w:rsidRPr="00AA7C99" w:rsidRDefault="00022991" w:rsidP="0090104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6"/>
                      <w:szCs w:val="16"/>
                      <w:lang w:val="en-US" w:eastAsia="es-ES"/>
                    </w:rPr>
                  </w:pPr>
                </w:p>
              </w:tc>
            </w:tr>
          </w:tbl>
          <w:p w:rsidR="00A121E3" w:rsidRPr="00022991" w:rsidRDefault="00A121E3" w:rsidP="000229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21E3" w:rsidRPr="00A121E3" w:rsidTr="00530CC7">
        <w:trPr>
          <w:gridAfter w:val="1"/>
          <w:wAfter w:w="7" w:type="dxa"/>
          <w:trHeight w:val="71"/>
        </w:trPr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21E3" w:rsidRPr="00A121E3" w:rsidTr="00530CC7">
        <w:trPr>
          <w:gridAfter w:val="1"/>
          <w:wAfter w:w="7" w:type="dxa"/>
          <w:trHeight w:val="71"/>
        </w:trPr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21E3" w:rsidRPr="00A121E3" w:rsidTr="00530CC7">
        <w:trPr>
          <w:gridAfter w:val="1"/>
          <w:wAfter w:w="7" w:type="dxa"/>
          <w:trHeight w:val="71"/>
        </w:trPr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21E3" w:rsidRPr="00A121E3" w:rsidTr="00530CC7">
        <w:trPr>
          <w:gridAfter w:val="1"/>
          <w:wAfter w:w="7" w:type="dxa"/>
          <w:trHeight w:val="71"/>
        </w:trPr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21E3" w:rsidRPr="00A121E3" w:rsidTr="00530CC7">
        <w:trPr>
          <w:gridAfter w:val="1"/>
          <w:wAfter w:w="7" w:type="dxa"/>
          <w:trHeight w:val="71"/>
        </w:trPr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21E3" w:rsidRPr="00A121E3" w:rsidTr="00530CC7">
        <w:trPr>
          <w:gridAfter w:val="1"/>
          <w:wAfter w:w="7" w:type="dxa"/>
          <w:trHeight w:val="71"/>
        </w:trPr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9" w:type="dxa"/>
          </w:tcPr>
          <w:p w:rsidR="00A121E3" w:rsidRPr="00A121E3" w:rsidRDefault="00A121E3" w:rsidP="00A121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2226C" w:rsidRDefault="0092226C">
      <w:pPr>
        <w:rPr>
          <w:rFonts w:ascii="Century Gothic" w:hAnsi="Century Gothic"/>
          <w:sz w:val="16"/>
          <w:szCs w:val="16"/>
          <w:lang w:val="en-US"/>
        </w:rPr>
      </w:pPr>
    </w:p>
    <w:p w:rsidR="00AA7C99" w:rsidRPr="00AA7C99" w:rsidRDefault="00AA7C99">
      <w:pPr>
        <w:rPr>
          <w:rFonts w:ascii="Century Gothic" w:hAnsi="Century Gothic"/>
          <w:sz w:val="16"/>
          <w:szCs w:val="16"/>
          <w:lang w:val="en-US"/>
        </w:rPr>
      </w:pPr>
    </w:p>
    <w:p w:rsidR="00173906" w:rsidRPr="00173906" w:rsidRDefault="00173906">
      <w:pPr>
        <w:rPr>
          <w:rFonts w:ascii="Century Gothic" w:hAnsi="Century Gothic"/>
          <w:sz w:val="16"/>
          <w:szCs w:val="16"/>
          <w:lang w:val="en-US"/>
        </w:rPr>
      </w:pPr>
    </w:p>
    <w:p w:rsidR="00173906" w:rsidRPr="00173906" w:rsidRDefault="00173906">
      <w:pPr>
        <w:rPr>
          <w:rFonts w:ascii="Century Gothic" w:hAnsi="Century Gothic"/>
          <w:sz w:val="16"/>
          <w:szCs w:val="16"/>
          <w:lang w:val="en-US"/>
        </w:rPr>
      </w:pPr>
    </w:p>
    <w:sectPr w:rsidR="00173906" w:rsidRPr="00173906" w:rsidSect="00203A59">
      <w:headerReference w:type="default" r:id="rId9"/>
      <w:pgSz w:w="12240" w:h="15840"/>
      <w:pgMar w:top="1985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F6" w:rsidRDefault="006313F6" w:rsidP="00F4083D">
      <w:pPr>
        <w:spacing w:after="0" w:line="240" w:lineRule="auto"/>
      </w:pPr>
      <w:r>
        <w:separator/>
      </w:r>
    </w:p>
  </w:endnote>
  <w:endnote w:type="continuationSeparator" w:id="0">
    <w:p w:rsidR="006313F6" w:rsidRDefault="006313F6" w:rsidP="00F4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F6" w:rsidRDefault="006313F6" w:rsidP="00F4083D">
      <w:pPr>
        <w:spacing w:after="0" w:line="240" w:lineRule="auto"/>
      </w:pPr>
      <w:r>
        <w:separator/>
      </w:r>
    </w:p>
  </w:footnote>
  <w:footnote w:type="continuationSeparator" w:id="0">
    <w:p w:rsidR="006313F6" w:rsidRDefault="006313F6" w:rsidP="00F4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D" w:rsidRDefault="00F4083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926590" cy="10972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3C63"/>
    <w:rsid w:val="00022991"/>
    <w:rsid w:val="000E374C"/>
    <w:rsid w:val="00173906"/>
    <w:rsid w:val="001B78DB"/>
    <w:rsid w:val="00203A59"/>
    <w:rsid w:val="00242622"/>
    <w:rsid w:val="002A4734"/>
    <w:rsid w:val="003164B9"/>
    <w:rsid w:val="00355552"/>
    <w:rsid w:val="004137FC"/>
    <w:rsid w:val="00437270"/>
    <w:rsid w:val="00450119"/>
    <w:rsid w:val="00503684"/>
    <w:rsid w:val="00546D92"/>
    <w:rsid w:val="00557AD1"/>
    <w:rsid w:val="006313F6"/>
    <w:rsid w:val="00663EED"/>
    <w:rsid w:val="00681758"/>
    <w:rsid w:val="007459BE"/>
    <w:rsid w:val="007C4CDD"/>
    <w:rsid w:val="007F614F"/>
    <w:rsid w:val="008904A8"/>
    <w:rsid w:val="0092226C"/>
    <w:rsid w:val="00A02CB7"/>
    <w:rsid w:val="00A121E3"/>
    <w:rsid w:val="00A53B1C"/>
    <w:rsid w:val="00A91ABE"/>
    <w:rsid w:val="00AA7C99"/>
    <w:rsid w:val="00B45D18"/>
    <w:rsid w:val="00BD7E0B"/>
    <w:rsid w:val="00BE55FC"/>
    <w:rsid w:val="00C07F37"/>
    <w:rsid w:val="00C9210A"/>
    <w:rsid w:val="00CA1CD0"/>
    <w:rsid w:val="00CE08EC"/>
    <w:rsid w:val="00CE3113"/>
    <w:rsid w:val="00CE3C63"/>
    <w:rsid w:val="00D72769"/>
    <w:rsid w:val="00D81ECD"/>
    <w:rsid w:val="00D9752D"/>
    <w:rsid w:val="00DD3527"/>
    <w:rsid w:val="00E34648"/>
    <w:rsid w:val="00EE01B8"/>
    <w:rsid w:val="00F4083D"/>
    <w:rsid w:val="00F45A2F"/>
    <w:rsid w:val="00F578B2"/>
    <w:rsid w:val="00F832B0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F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7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46D9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A06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83D"/>
  </w:style>
  <w:style w:type="paragraph" w:styleId="Pidipagina">
    <w:name w:val="footer"/>
    <w:basedOn w:val="Normale"/>
    <w:link w:val="PidipaginaCarattere"/>
    <w:uiPriority w:val="99"/>
    <w:unhideWhenUsed/>
    <w:rsid w:val="00F4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7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6D9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A06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3D"/>
  </w:style>
  <w:style w:type="paragraph" w:styleId="Piedepgina">
    <w:name w:val="footer"/>
    <w:basedOn w:val="Normal"/>
    <w:link w:val="PiedepginaCar"/>
    <w:uiPriority w:val="99"/>
    <w:unhideWhenUsed/>
    <w:rsid w:val="00F40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ttini@hacking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gallucci@hackingteam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03C8-D61F-4386-A542-691E5C3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Simonetta Gallucci</cp:lastModifiedBy>
  <cp:revision>2</cp:revision>
  <dcterms:created xsi:type="dcterms:W3CDTF">2013-10-09T13:41:00Z</dcterms:created>
  <dcterms:modified xsi:type="dcterms:W3CDTF">2013-10-09T13:41:00Z</dcterms:modified>
</cp:coreProperties>
</file>