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3A" w:rsidRPr="00585CE8" w:rsidRDefault="008F223A">
      <w:pPr>
        <w:rPr>
          <w:b/>
          <w:sz w:val="28"/>
          <w:szCs w:val="28"/>
        </w:rPr>
      </w:pPr>
      <w:r w:rsidRPr="00585CE8">
        <w:rPr>
          <w:b/>
          <w:sz w:val="28"/>
          <w:szCs w:val="28"/>
        </w:rPr>
        <w:t>PRE - REGISTRATION</w:t>
      </w:r>
    </w:p>
    <w:tbl>
      <w:tblPr>
        <w:tblStyle w:val="MediumShading2-Accent5"/>
        <w:tblW w:w="5000" w:type="pct"/>
        <w:tblLook w:val="0660"/>
      </w:tblPr>
      <w:tblGrid>
        <w:gridCol w:w="2137"/>
        <w:gridCol w:w="6154"/>
        <w:gridCol w:w="1563"/>
      </w:tblGrid>
      <w:tr w:rsidR="008F223A" w:rsidTr="00DB49AB">
        <w:trPr>
          <w:cnfStyle w:val="100000000000"/>
          <w:trHeight w:val="272"/>
        </w:trPr>
        <w:tc>
          <w:tcPr>
            <w:tcW w:w="1084" w:type="pct"/>
            <w:noWrap/>
          </w:tcPr>
          <w:p w:rsidR="008F223A" w:rsidRDefault="008F223A">
            <w:r>
              <w:t>STEP</w:t>
            </w:r>
          </w:p>
        </w:tc>
        <w:tc>
          <w:tcPr>
            <w:tcW w:w="3123" w:type="pct"/>
          </w:tcPr>
          <w:p w:rsidR="008F223A" w:rsidRDefault="008F223A">
            <w:r>
              <w:t>DESCRIPTION</w:t>
            </w:r>
          </w:p>
        </w:tc>
        <w:tc>
          <w:tcPr>
            <w:tcW w:w="793" w:type="pct"/>
          </w:tcPr>
          <w:p w:rsidR="008F223A" w:rsidRDefault="008F223A">
            <w:r>
              <w:t>CHECK</w:t>
            </w:r>
          </w:p>
        </w:tc>
      </w:tr>
      <w:tr w:rsidR="008F223A" w:rsidTr="00DB49AB">
        <w:trPr>
          <w:trHeight w:val="257"/>
        </w:trPr>
        <w:tc>
          <w:tcPr>
            <w:tcW w:w="1084" w:type="pct"/>
            <w:noWrap/>
          </w:tcPr>
          <w:p w:rsidR="008F223A" w:rsidRDefault="008F223A"/>
        </w:tc>
        <w:tc>
          <w:tcPr>
            <w:tcW w:w="3123" w:type="pct"/>
          </w:tcPr>
          <w:p w:rsidR="008F223A" w:rsidRDefault="008F223A">
            <w:pPr>
              <w:rPr>
                <w:rStyle w:val="SubtleEmphasis"/>
              </w:rPr>
            </w:pPr>
          </w:p>
        </w:tc>
        <w:tc>
          <w:tcPr>
            <w:tcW w:w="793" w:type="pct"/>
          </w:tcPr>
          <w:p w:rsidR="008F223A" w:rsidRDefault="008F223A"/>
        </w:tc>
      </w:tr>
      <w:tr w:rsidR="008F223A" w:rsidRPr="00585CE8" w:rsidTr="00DB49AB">
        <w:trPr>
          <w:trHeight w:val="1352"/>
        </w:trPr>
        <w:tc>
          <w:tcPr>
            <w:tcW w:w="1084" w:type="pct"/>
            <w:noWrap/>
          </w:tcPr>
          <w:p w:rsidR="008F223A" w:rsidRPr="00585CE8" w:rsidRDefault="00AD752E">
            <w:pPr>
              <w:rPr>
                <w:b/>
              </w:rPr>
            </w:pPr>
            <w:r w:rsidRPr="00585CE8">
              <w:rPr>
                <w:b/>
              </w:rPr>
              <w:t>Director</w:t>
            </w:r>
          </w:p>
        </w:tc>
        <w:tc>
          <w:tcPr>
            <w:tcW w:w="3123" w:type="pct"/>
          </w:tcPr>
          <w:p w:rsidR="008F223A" w:rsidRDefault="00AD752E" w:rsidP="00585CE8">
            <w:pPr>
              <w:pStyle w:val="DecimalAligned"/>
              <w:jc w:val="both"/>
            </w:pPr>
            <w:r>
              <w:t>A minimum of one resident director (a </w:t>
            </w:r>
            <w:r>
              <w:rPr>
                <w:rStyle w:val="Emphasis"/>
              </w:rPr>
              <w:t>resident</w:t>
            </w:r>
            <w:r>
              <w:t xml:space="preserve"> is defined as a Singapore Citizen, a Singaporean Permanent Resident, or a person who has been issued an </w:t>
            </w:r>
            <w:proofErr w:type="spellStart"/>
            <w:r>
              <w:t>Entrepass</w:t>
            </w:r>
            <w:proofErr w:type="spellEnd"/>
            <w:r>
              <w:t>, Employment Pass, or Dependent Pass) is mandatory</w:t>
            </w:r>
          </w:p>
        </w:tc>
        <w:tc>
          <w:tcPr>
            <w:tcW w:w="793" w:type="pct"/>
          </w:tcPr>
          <w:p w:rsidR="008F223A" w:rsidRPr="00DB49AB" w:rsidRDefault="00DB49AB">
            <w:pPr>
              <w:pStyle w:val="DecimalAligned"/>
              <w:rPr>
                <w:i/>
              </w:rPr>
            </w:pPr>
            <w:r w:rsidRPr="00DB49AB">
              <w:rPr>
                <w:i/>
              </w:rPr>
              <w:t>Daniel Maglietta</w:t>
            </w:r>
          </w:p>
        </w:tc>
      </w:tr>
      <w:tr w:rsidR="008F223A" w:rsidRPr="00585CE8" w:rsidTr="00DB49AB">
        <w:trPr>
          <w:trHeight w:val="272"/>
        </w:trPr>
        <w:tc>
          <w:tcPr>
            <w:tcW w:w="1084" w:type="pct"/>
            <w:noWrap/>
          </w:tcPr>
          <w:p w:rsidR="008F223A" w:rsidRPr="00585CE8" w:rsidRDefault="00AD752E">
            <w:r w:rsidRPr="00585CE8">
              <w:rPr>
                <w:rStyle w:val="Strong"/>
              </w:rPr>
              <w:t>Company Secretary</w:t>
            </w:r>
          </w:p>
        </w:tc>
        <w:tc>
          <w:tcPr>
            <w:tcW w:w="3123" w:type="pct"/>
          </w:tcPr>
          <w:p w:rsidR="008F223A" w:rsidRDefault="00AD752E" w:rsidP="00585CE8">
            <w:pPr>
              <w:pStyle w:val="DecimalAligned"/>
              <w:jc w:val="both"/>
            </w:pPr>
            <w:r>
              <w:t>The company secretary must be a natural person who is ordinarily resident in Singapore</w:t>
            </w:r>
          </w:p>
          <w:p w:rsidR="00585CE8" w:rsidRDefault="00585CE8" w:rsidP="00585CE8">
            <w:pPr>
              <w:pStyle w:val="DecimalAligned"/>
              <w:jc w:val="both"/>
            </w:pPr>
          </w:p>
        </w:tc>
        <w:tc>
          <w:tcPr>
            <w:tcW w:w="793" w:type="pct"/>
          </w:tcPr>
          <w:p w:rsidR="008F223A" w:rsidRPr="00DB49AB" w:rsidRDefault="00DB49AB">
            <w:pPr>
              <w:pStyle w:val="DecimalAligned"/>
              <w:rPr>
                <w:i/>
              </w:rPr>
            </w:pPr>
            <w:r w:rsidRPr="00DB49AB">
              <w:rPr>
                <w:i/>
              </w:rPr>
              <w:t>Stamford Law</w:t>
            </w:r>
          </w:p>
        </w:tc>
      </w:tr>
      <w:tr w:rsidR="008F223A" w:rsidTr="00DB49AB">
        <w:trPr>
          <w:trHeight w:val="272"/>
        </w:trPr>
        <w:tc>
          <w:tcPr>
            <w:tcW w:w="1084" w:type="pct"/>
            <w:noWrap/>
          </w:tcPr>
          <w:p w:rsidR="008F223A" w:rsidRPr="00585CE8" w:rsidRDefault="00AD752E">
            <w:pPr>
              <w:rPr>
                <w:b/>
              </w:rPr>
            </w:pPr>
            <w:r w:rsidRPr="00585CE8">
              <w:rPr>
                <w:b/>
              </w:rPr>
              <w:t>Capital</w:t>
            </w:r>
          </w:p>
        </w:tc>
        <w:tc>
          <w:tcPr>
            <w:tcW w:w="3123" w:type="pct"/>
          </w:tcPr>
          <w:p w:rsidR="008F223A" w:rsidRDefault="00AD752E" w:rsidP="00585CE8">
            <w:pPr>
              <w:pStyle w:val="DecimalAligned"/>
              <w:jc w:val="both"/>
            </w:pPr>
            <w:r>
              <w:t>There is no concept of Authorized Capital for Singapore companies (but usually SGD 50.000)</w:t>
            </w:r>
          </w:p>
          <w:p w:rsidR="00585CE8" w:rsidRDefault="00585CE8" w:rsidP="00585CE8">
            <w:pPr>
              <w:pStyle w:val="DecimalAligned"/>
              <w:jc w:val="both"/>
            </w:pPr>
          </w:p>
        </w:tc>
        <w:tc>
          <w:tcPr>
            <w:tcW w:w="793" w:type="pct"/>
          </w:tcPr>
          <w:p w:rsidR="008F223A" w:rsidRPr="00211BE1" w:rsidRDefault="00211BE1" w:rsidP="00187C90">
            <w:pPr>
              <w:pStyle w:val="DecimalAligned"/>
              <w:rPr>
                <w:i/>
              </w:rPr>
            </w:pPr>
            <w:r w:rsidRPr="00357A8C">
              <w:rPr>
                <w:i/>
              </w:rPr>
              <w:t xml:space="preserve">SGD </w:t>
            </w:r>
            <w:r w:rsidR="00187C90">
              <w:rPr>
                <w:i/>
              </w:rPr>
              <w:t>6</w:t>
            </w:r>
            <w:r w:rsidRPr="00357A8C">
              <w:rPr>
                <w:i/>
              </w:rPr>
              <w:t>00.000,00</w:t>
            </w:r>
          </w:p>
        </w:tc>
      </w:tr>
      <w:tr w:rsidR="008F223A" w:rsidRPr="00585CE8" w:rsidTr="00DB49AB">
        <w:trPr>
          <w:trHeight w:val="272"/>
        </w:trPr>
        <w:tc>
          <w:tcPr>
            <w:tcW w:w="1084" w:type="pct"/>
            <w:noWrap/>
          </w:tcPr>
          <w:p w:rsidR="008F223A" w:rsidRPr="00585CE8" w:rsidRDefault="00AD752E">
            <w:pPr>
              <w:rPr>
                <w:b/>
              </w:rPr>
            </w:pPr>
            <w:r w:rsidRPr="00585CE8">
              <w:rPr>
                <w:b/>
              </w:rPr>
              <w:t>Registered Address</w:t>
            </w:r>
          </w:p>
        </w:tc>
        <w:tc>
          <w:tcPr>
            <w:tcW w:w="3123" w:type="pct"/>
          </w:tcPr>
          <w:p w:rsidR="008F223A" w:rsidRDefault="00AD752E" w:rsidP="00585CE8">
            <w:pPr>
              <w:pStyle w:val="DecimalAligned"/>
              <w:jc w:val="both"/>
            </w:pPr>
            <w:r>
              <w:t>The registered address must be a physical address (can be either a residential or commercial address) and cannot be a P.O. Box</w:t>
            </w:r>
          </w:p>
          <w:p w:rsidR="00585CE8" w:rsidRDefault="00585CE8" w:rsidP="00585CE8">
            <w:pPr>
              <w:pStyle w:val="DecimalAligned"/>
              <w:jc w:val="both"/>
            </w:pPr>
          </w:p>
        </w:tc>
        <w:tc>
          <w:tcPr>
            <w:tcW w:w="793" w:type="pct"/>
          </w:tcPr>
          <w:p w:rsidR="008F223A" w:rsidRPr="00DB49AB" w:rsidRDefault="00211BE1" w:rsidP="00357A8C">
            <w:pPr>
              <w:pStyle w:val="DecimalAligned"/>
              <w:rPr>
                <w:i/>
              </w:rPr>
            </w:pPr>
            <w:r w:rsidRPr="00357A8C">
              <w:rPr>
                <w:i/>
              </w:rPr>
              <w:t xml:space="preserve">Stamford Law </w:t>
            </w:r>
          </w:p>
        </w:tc>
      </w:tr>
      <w:tr w:rsidR="008F223A" w:rsidRPr="00357A8C" w:rsidTr="00DB49AB">
        <w:trPr>
          <w:trHeight w:val="272"/>
        </w:trPr>
        <w:tc>
          <w:tcPr>
            <w:tcW w:w="1084" w:type="pct"/>
            <w:noWrap/>
          </w:tcPr>
          <w:p w:rsidR="008F223A" w:rsidRPr="00585CE8" w:rsidRDefault="0048739E">
            <w:pPr>
              <w:rPr>
                <w:b/>
              </w:rPr>
            </w:pPr>
            <w:r w:rsidRPr="00585CE8">
              <w:rPr>
                <w:b/>
              </w:rPr>
              <w:t>Required Documents</w:t>
            </w:r>
          </w:p>
        </w:tc>
        <w:tc>
          <w:tcPr>
            <w:tcW w:w="3123" w:type="pct"/>
          </w:tcPr>
          <w:p w:rsidR="008F223A" w:rsidRPr="0048739E" w:rsidRDefault="0048739E" w:rsidP="00585CE8">
            <w:pPr>
              <w:jc w:val="both"/>
            </w:pPr>
            <w:r w:rsidRPr="0048739E">
              <w:t>Company Name, Brief Description of Business Activities,  Shareholders Particulars, Directors Particulars, Registered Address, Company Secretary Particulars, Memorandum and Articles of Association (MAA)</w:t>
            </w:r>
            <w:r w:rsidR="00716293">
              <w:t>, Copy of Singapore Identity Card (Director), Copy of registration documents such as Certificate of Incorporation and Memorandum &amp; Articles of Association (corporate shareholder)</w:t>
            </w:r>
          </w:p>
        </w:tc>
        <w:tc>
          <w:tcPr>
            <w:tcW w:w="793" w:type="pct"/>
          </w:tcPr>
          <w:p w:rsidR="008F223A" w:rsidRPr="00357A8C" w:rsidRDefault="00DB49AB">
            <w:pPr>
              <w:pStyle w:val="DecimalAligned"/>
              <w:rPr>
                <w:i/>
              </w:rPr>
            </w:pPr>
            <w:r w:rsidRPr="00357A8C">
              <w:rPr>
                <w:i/>
              </w:rPr>
              <w:t>Forms Stamford Law</w:t>
            </w:r>
          </w:p>
        </w:tc>
      </w:tr>
      <w:tr w:rsidR="008F223A" w:rsidTr="00DB49AB">
        <w:trPr>
          <w:cnfStyle w:val="010000000000"/>
          <w:trHeight w:val="272"/>
        </w:trPr>
        <w:tc>
          <w:tcPr>
            <w:tcW w:w="1084" w:type="pct"/>
            <w:noWrap/>
          </w:tcPr>
          <w:p w:rsidR="008F223A" w:rsidRDefault="008F223A"/>
        </w:tc>
        <w:tc>
          <w:tcPr>
            <w:tcW w:w="3123" w:type="pct"/>
          </w:tcPr>
          <w:p w:rsidR="008F223A" w:rsidRDefault="008F223A">
            <w:pPr>
              <w:pStyle w:val="DecimalAligned"/>
            </w:pPr>
          </w:p>
        </w:tc>
        <w:tc>
          <w:tcPr>
            <w:tcW w:w="793" w:type="pct"/>
          </w:tcPr>
          <w:p w:rsidR="008F223A" w:rsidRDefault="008F223A">
            <w:pPr>
              <w:pStyle w:val="DecimalAligned"/>
            </w:pPr>
          </w:p>
        </w:tc>
      </w:tr>
    </w:tbl>
    <w:p w:rsidR="00856623" w:rsidRDefault="00856623">
      <w:pPr>
        <w:rPr>
          <w:lang w:val="en-US"/>
        </w:rPr>
      </w:pPr>
    </w:p>
    <w:p w:rsidR="00716293" w:rsidRPr="00585CE8" w:rsidRDefault="00716293" w:rsidP="00716293">
      <w:pPr>
        <w:rPr>
          <w:b/>
          <w:sz w:val="28"/>
          <w:szCs w:val="28"/>
        </w:rPr>
      </w:pPr>
      <w:r w:rsidRPr="00585CE8">
        <w:rPr>
          <w:b/>
          <w:sz w:val="28"/>
          <w:szCs w:val="28"/>
        </w:rPr>
        <w:t>REGISTRATION</w:t>
      </w:r>
    </w:p>
    <w:tbl>
      <w:tblPr>
        <w:tblStyle w:val="MediumShading2-Accent5"/>
        <w:tblW w:w="5000" w:type="pct"/>
        <w:tblLook w:val="0660"/>
      </w:tblPr>
      <w:tblGrid>
        <w:gridCol w:w="2098"/>
        <w:gridCol w:w="6175"/>
        <w:gridCol w:w="1581"/>
      </w:tblGrid>
      <w:tr w:rsidR="00716293" w:rsidTr="00575731">
        <w:trPr>
          <w:cnfStyle w:val="100000000000"/>
          <w:trHeight w:val="272"/>
        </w:trPr>
        <w:tc>
          <w:tcPr>
            <w:tcW w:w="1065" w:type="pct"/>
            <w:noWrap/>
          </w:tcPr>
          <w:p w:rsidR="00716293" w:rsidRDefault="00716293" w:rsidP="00575731">
            <w:r>
              <w:t>STEP</w:t>
            </w:r>
          </w:p>
        </w:tc>
        <w:tc>
          <w:tcPr>
            <w:tcW w:w="3133" w:type="pct"/>
          </w:tcPr>
          <w:p w:rsidR="00716293" w:rsidRDefault="00716293" w:rsidP="00575731">
            <w:r>
              <w:t>DESCRIPTION</w:t>
            </w:r>
          </w:p>
        </w:tc>
        <w:tc>
          <w:tcPr>
            <w:tcW w:w="802" w:type="pct"/>
          </w:tcPr>
          <w:p w:rsidR="00716293" w:rsidRDefault="00716293" w:rsidP="00575731">
            <w:r>
              <w:t>CHECK</w:t>
            </w:r>
          </w:p>
        </w:tc>
      </w:tr>
      <w:tr w:rsidR="00716293" w:rsidTr="00575731">
        <w:trPr>
          <w:trHeight w:val="257"/>
        </w:trPr>
        <w:tc>
          <w:tcPr>
            <w:tcW w:w="1065" w:type="pct"/>
            <w:noWrap/>
          </w:tcPr>
          <w:p w:rsidR="00716293" w:rsidRDefault="00716293" w:rsidP="00575731"/>
        </w:tc>
        <w:tc>
          <w:tcPr>
            <w:tcW w:w="3133" w:type="pct"/>
          </w:tcPr>
          <w:p w:rsidR="00716293" w:rsidRDefault="00716293" w:rsidP="00575731">
            <w:pPr>
              <w:rPr>
                <w:rStyle w:val="SubtleEmphasis"/>
              </w:rPr>
            </w:pPr>
          </w:p>
        </w:tc>
        <w:tc>
          <w:tcPr>
            <w:tcW w:w="802" w:type="pct"/>
          </w:tcPr>
          <w:p w:rsidR="00716293" w:rsidRDefault="00716293" w:rsidP="00575731"/>
        </w:tc>
      </w:tr>
      <w:tr w:rsidR="00716293" w:rsidRPr="008F223A" w:rsidTr="00575731">
        <w:trPr>
          <w:trHeight w:val="544"/>
        </w:trPr>
        <w:tc>
          <w:tcPr>
            <w:tcW w:w="1065" w:type="pct"/>
            <w:noWrap/>
          </w:tcPr>
          <w:p w:rsidR="00716293" w:rsidRPr="00585CE8" w:rsidRDefault="00716293" w:rsidP="00575731">
            <w:pPr>
              <w:rPr>
                <w:b/>
              </w:rPr>
            </w:pPr>
            <w:r w:rsidRPr="00585CE8">
              <w:rPr>
                <w:b/>
              </w:rPr>
              <w:t>Name Reservation</w:t>
            </w:r>
          </w:p>
        </w:tc>
        <w:tc>
          <w:tcPr>
            <w:tcW w:w="3133" w:type="pct"/>
          </w:tcPr>
          <w:p w:rsidR="00716293" w:rsidRDefault="00716293" w:rsidP="00716293">
            <w:r w:rsidRPr="00716293">
              <w:t>Not identical or too similar to any existing local company names, not infringe with any trademarks, is not obscene or vulgar, is not already reserved</w:t>
            </w:r>
          </w:p>
        </w:tc>
        <w:tc>
          <w:tcPr>
            <w:tcW w:w="802" w:type="pct"/>
          </w:tcPr>
          <w:p w:rsidR="00716293" w:rsidRPr="00DB49AB" w:rsidRDefault="002545D0" w:rsidP="00575731">
            <w:pPr>
              <w:pStyle w:val="DecimalAligned"/>
              <w:rPr>
                <w:i/>
              </w:rPr>
            </w:pPr>
            <w:r>
              <w:rPr>
                <w:i/>
              </w:rPr>
              <w:t xml:space="preserve"> </w:t>
            </w:r>
            <w:r w:rsidR="00DB49AB" w:rsidRPr="00357A8C">
              <w:rPr>
                <w:i/>
              </w:rPr>
              <w:t xml:space="preserve">HT </w:t>
            </w:r>
            <w:r w:rsidR="00211BE1" w:rsidRPr="00357A8C">
              <w:rPr>
                <w:i/>
              </w:rPr>
              <w:t>–</w:t>
            </w:r>
            <w:r w:rsidR="00DB49AB" w:rsidRPr="00357A8C">
              <w:rPr>
                <w:i/>
              </w:rPr>
              <w:t xml:space="preserve"> Asia</w:t>
            </w:r>
            <w:r w:rsidR="00211BE1" w:rsidRPr="00357A8C">
              <w:rPr>
                <w:i/>
              </w:rPr>
              <w:t xml:space="preserve"> check </w:t>
            </w:r>
            <w:proofErr w:type="spellStart"/>
            <w:r w:rsidR="00211BE1" w:rsidRPr="00357A8C">
              <w:rPr>
                <w:i/>
              </w:rPr>
              <w:t>marchio</w:t>
            </w:r>
            <w:proofErr w:type="spellEnd"/>
          </w:p>
        </w:tc>
      </w:tr>
      <w:tr w:rsidR="00716293" w:rsidRPr="00716293" w:rsidTr="00575731">
        <w:trPr>
          <w:trHeight w:val="272"/>
        </w:trPr>
        <w:tc>
          <w:tcPr>
            <w:tcW w:w="1065" w:type="pct"/>
            <w:noWrap/>
          </w:tcPr>
          <w:p w:rsidR="00716293" w:rsidRPr="00585CE8" w:rsidRDefault="00716293" w:rsidP="00575731">
            <w:pPr>
              <w:rPr>
                <w:b/>
              </w:rPr>
            </w:pPr>
          </w:p>
        </w:tc>
        <w:tc>
          <w:tcPr>
            <w:tcW w:w="3133" w:type="pct"/>
          </w:tcPr>
          <w:p w:rsidR="00716293" w:rsidRDefault="00716293" w:rsidP="00575731">
            <w:pPr>
              <w:pStyle w:val="DecimalAligned"/>
              <w:jc w:val="both"/>
            </w:pPr>
          </w:p>
        </w:tc>
        <w:tc>
          <w:tcPr>
            <w:tcW w:w="802" w:type="pct"/>
          </w:tcPr>
          <w:p w:rsidR="00716293" w:rsidRDefault="00716293" w:rsidP="00575731">
            <w:pPr>
              <w:pStyle w:val="DecimalAligned"/>
            </w:pPr>
          </w:p>
        </w:tc>
      </w:tr>
      <w:tr w:rsidR="00716293" w:rsidRPr="00187C90" w:rsidTr="00575731">
        <w:trPr>
          <w:trHeight w:val="272"/>
        </w:trPr>
        <w:tc>
          <w:tcPr>
            <w:tcW w:w="1065" w:type="pct"/>
            <w:noWrap/>
          </w:tcPr>
          <w:p w:rsidR="00716293" w:rsidRPr="00585CE8" w:rsidRDefault="00716293" w:rsidP="00575731">
            <w:pPr>
              <w:rPr>
                <w:b/>
              </w:rPr>
            </w:pPr>
            <w:r w:rsidRPr="00585CE8">
              <w:rPr>
                <w:b/>
              </w:rPr>
              <w:t>Register Company</w:t>
            </w:r>
          </w:p>
        </w:tc>
        <w:tc>
          <w:tcPr>
            <w:tcW w:w="3133" w:type="pct"/>
          </w:tcPr>
          <w:p w:rsidR="00716293" w:rsidRDefault="00716293" w:rsidP="00575731">
            <w:pPr>
              <w:pStyle w:val="DecimalAligned"/>
            </w:pPr>
            <w:r>
              <w:t>A registration fee of S$300 is payable to the Singapore Registrar of Companies at the time of incorporating a private limited liability company.</w:t>
            </w:r>
          </w:p>
        </w:tc>
        <w:tc>
          <w:tcPr>
            <w:tcW w:w="802" w:type="pct"/>
          </w:tcPr>
          <w:p w:rsidR="00716293" w:rsidRDefault="00716293" w:rsidP="00575731">
            <w:pPr>
              <w:pStyle w:val="DecimalAligned"/>
            </w:pPr>
          </w:p>
        </w:tc>
      </w:tr>
      <w:tr w:rsidR="00716293" w:rsidRPr="00187C90" w:rsidTr="00575731">
        <w:trPr>
          <w:trHeight w:val="272"/>
        </w:trPr>
        <w:tc>
          <w:tcPr>
            <w:tcW w:w="1065" w:type="pct"/>
            <w:noWrap/>
          </w:tcPr>
          <w:p w:rsidR="00716293" w:rsidRDefault="00716293" w:rsidP="00575731"/>
        </w:tc>
        <w:tc>
          <w:tcPr>
            <w:tcW w:w="3133" w:type="pct"/>
          </w:tcPr>
          <w:p w:rsidR="00716293" w:rsidRDefault="00716293" w:rsidP="00575731">
            <w:pPr>
              <w:pStyle w:val="DecimalAligned"/>
            </w:pPr>
          </w:p>
        </w:tc>
        <w:tc>
          <w:tcPr>
            <w:tcW w:w="802" w:type="pct"/>
          </w:tcPr>
          <w:p w:rsidR="00716293" w:rsidRDefault="00716293" w:rsidP="00575731">
            <w:pPr>
              <w:pStyle w:val="DecimalAligned"/>
            </w:pPr>
          </w:p>
        </w:tc>
      </w:tr>
      <w:tr w:rsidR="00716293" w:rsidRPr="00187C90" w:rsidTr="00575731">
        <w:trPr>
          <w:trHeight w:val="272"/>
        </w:trPr>
        <w:tc>
          <w:tcPr>
            <w:tcW w:w="1065" w:type="pct"/>
            <w:noWrap/>
          </w:tcPr>
          <w:p w:rsidR="00716293" w:rsidRDefault="00716293" w:rsidP="00575731"/>
        </w:tc>
        <w:tc>
          <w:tcPr>
            <w:tcW w:w="3133" w:type="pct"/>
          </w:tcPr>
          <w:p w:rsidR="00716293" w:rsidRDefault="00716293" w:rsidP="00575731">
            <w:pPr>
              <w:pStyle w:val="DecimalAligned"/>
            </w:pPr>
          </w:p>
        </w:tc>
        <w:tc>
          <w:tcPr>
            <w:tcW w:w="802" w:type="pct"/>
          </w:tcPr>
          <w:p w:rsidR="00716293" w:rsidRDefault="00716293" w:rsidP="00575731">
            <w:pPr>
              <w:pStyle w:val="DecimalAligned"/>
            </w:pPr>
          </w:p>
        </w:tc>
      </w:tr>
      <w:tr w:rsidR="00716293" w:rsidRPr="00187C90" w:rsidTr="00575731">
        <w:trPr>
          <w:trHeight w:val="272"/>
        </w:trPr>
        <w:tc>
          <w:tcPr>
            <w:tcW w:w="1065" w:type="pct"/>
            <w:noWrap/>
          </w:tcPr>
          <w:p w:rsidR="00716293" w:rsidRDefault="00716293" w:rsidP="00575731"/>
        </w:tc>
        <w:tc>
          <w:tcPr>
            <w:tcW w:w="3133" w:type="pct"/>
          </w:tcPr>
          <w:p w:rsidR="00716293" w:rsidRPr="0048739E" w:rsidRDefault="00716293" w:rsidP="00575731"/>
        </w:tc>
        <w:tc>
          <w:tcPr>
            <w:tcW w:w="802" w:type="pct"/>
          </w:tcPr>
          <w:p w:rsidR="00716293" w:rsidRDefault="00716293" w:rsidP="00575731">
            <w:pPr>
              <w:pStyle w:val="DecimalAligned"/>
            </w:pPr>
          </w:p>
        </w:tc>
      </w:tr>
      <w:tr w:rsidR="00716293" w:rsidRPr="00187C90" w:rsidTr="00575731">
        <w:trPr>
          <w:cnfStyle w:val="010000000000"/>
          <w:trHeight w:val="272"/>
        </w:trPr>
        <w:tc>
          <w:tcPr>
            <w:tcW w:w="1065" w:type="pct"/>
            <w:noWrap/>
          </w:tcPr>
          <w:p w:rsidR="00716293" w:rsidRDefault="00716293" w:rsidP="00575731"/>
        </w:tc>
        <w:tc>
          <w:tcPr>
            <w:tcW w:w="3133" w:type="pct"/>
          </w:tcPr>
          <w:p w:rsidR="00716293" w:rsidRDefault="00716293" w:rsidP="00575731">
            <w:pPr>
              <w:pStyle w:val="DecimalAligned"/>
            </w:pPr>
          </w:p>
        </w:tc>
        <w:tc>
          <w:tcPr>
            <w:tcW w:w="802" w:type="pct"/>
          </w:tcPr>
          <w:p w:rsidR="00716293" w:rsidRDefault="00716293" w:rsidP="00575731">
            <w:pPr>
              <w:pStyle w:val="DecimalAligned"/>
            </w:pPr>
          </w:p>
        </w:tc>
      </w:tr>
    </w:tbl>
    <w:p w:rsidR="00585CE8" w:rsidRDefault="00585CE8">
      <w:pPr>
        <w:rPr>
          <w:lang w:val="en-US"/>
        </w:rPr>
      </w:pPr>
    </w:p>
    <w:p w:rsidR="00585CE8" w:rsidRDefault="00585CE8">
      <w:pPr>
        <w:rPr>
          <w:lang w:val="en-US"/>
        </w:rPr>
      </w:pPr>
    </w:p>
    <w:p w:rsidR="00DB49AB" w:rsidRDefault="00DB49AB">
      <w:pPr>
        <w:rPr>
          <w:lang w:val="en-US"/>
        </w:rPr>
      </w:pPr>
    </w:p>
    <w:p w:rsidR="00585CE8" w:rsidRDefault="00585CE8" w:rsidP="00716293">
      <w:pPr>
        <w:rPr>
          <w:lang w:val="en-US"/>
        </w:rPr>
      </w:pPr>
    </w:p>
    <w:p w:rsidR="00716293" w:rsidRPr="00585CE8" w:rsidRDefault="00716293" w:rsidP="00716293">
      <w:pPr>
        <w:rPr>
          <w:b/>
          <w:sz w:val="28"/>
          <w:szCs w:val="28"/>
        </w:rPr>
      </w:pPr>
      <w:r w:rsidRPr="00585CE8">
        <w:rPr>
          <w:b/>
          <w:sz w:val="28"/>
          <w:szCs w:val="28"/>
        </w:rPr>
        <w:lastRenderedPageBreak/>
        <w:t>POST - REGISTRATION</w:t>
      </w:r>
    </w:p>
    <w:tbl>
      <w:tblPr>
        <w:tblStyle w:val="MediumShading2-Accent5"/>
        <w:tblW w:w="5000" w:type="pct"/>
        <w:tblLook w:val="0660"/>
      </w:tblPr>
      <w:tblGrid>
        <w:gridCol w:w="2328"/>
        <w:gridCol w:w="6060"/>
        <w:gridCol w:w="1466"/>
      </w:tblGrid>
      <w:tr w:rsidR="00716293" w:rsidTr="00DB49AB">
        <w:trPr>
          <w:cnfStyle w:val="100000000000"/>
          <w:trHeight w:val="272"/>
        </w:trPr>
        <w:tc>
          <w:tcPr>
            <w:tcW w:w="1181" w:type="pct"/>
            <w:noWrap/>
          </w:tcPr>
          <w:p w:rsidR="00716293" w:rsidRDefault="00716293" w:rsidP="00575731">
            <w:r>
              <w:t>STEP</w:t>
            </w:r>
          </w:p>
        </w:tc>
        <w:tc>
          <w:tcPr>
            <w:tcW w:w="3075" w:type="pct"/>
          </w:tcPr>
          <w:p w:rsidR="00716293" w:rsidRDefault="00716293" w:rsidP="00575731">
            <w:r>
              <w:t>DESCRIPTION</w:t>
            </w:r>
          </w:p>
        </w:tc>
        <w:tc>
          <w:tcPr>
            <w:tcW w:w="744" w:type="pct"/>
          </w:tcPr>
          <w:p w:rsidR="00716293" w:rsidRDefault="00716293" w:rsidP="00575731">
            <w:r>
              <w:t>CHECK</w:t>
            </w:r>
          </w:p>
        </w:tc>
      </w:tr>
      <w:tr w:rsidR="00716293" w:rsidRPr="00187C90" w:rsidTr="00DB49AB">
        <w:trPr>
          <w:trHeight w:val="544"/>
        </w:trPr>
        <w:tc>
          <w:tcPr>
            <w:tcW w:w="1181" w:type="pct"/>
            <w:noWrap/>
          </w:tcPr>
          <w:p w:rsidR="00DB49AB" w:rsidRDefault="00DB49AB" w:rsidP="00716293">
            <w:pPr>
              <w:rPr>
                <w:b/>
              </w:rPr>
            </w:pPr>
          </w:p>
          <w:p w:rsidR="00716293" w:rsidRPr="00585CE8" w:rsidRDefault="00716293" w:rsidP="00716293">
            <w:pPr>
              <w:rPr>
                <w:b/>
              </w:rPr>
            </w:pPr>
            <w:r w:rsidRPr="00585CE8">
              <w:rPr>
                <w:b/>
              </w:rPr>
              <w:t>Cert.  of Incorporation</w:t>
            </w:r>
          </w:p>
        </w:tc>
        <w:tc>
          <w:tcPr>
            <w:tcW w:w="3075" w:type="pct"/>
          </w:tcPr>
          <w:p w:rsidR="00DB49AB" w:rsidRDefault="00DB49AB" w:rsidP="00DB49AB">
            <w:pPr>
              <w:jc w:val="both"/>
            </w:pPr>
          </w:p>
          <w:p w:rsidR="00716293" w:rsidRDefault="00716293" w:rsidP="00DB49AB">
            <w:pPr>
              <w:jc w:val="both"/>
            </w:pPr>
            <w:r>
              <w:t xml:space="preserve">Email notification </w:t>
            </w:r>
            <w:r w:rsidR="001357A2">
              <w:t xml:space="preserve">that </w:t>
            </w:r>
            <w:r>
              <w:t xml:space="preserve">includes the </w:t>
            </w:r>
            <w:r w:rsidR="001357A2">
              <w:t xml:space="preserve">company registration number. </w:t>
            </w:r>
            <w:r>
              <w:t xml:space="preserve">A fee of approximately S$50 is applicable </w:t>
            </w:r>
            <w:r w:rsidR="001357A2">
              <w:t xml:space="preserve">for hard copy, and it </w:t>
            </w:r>
            <w:r>
              <w:t>can be collected the next day from the office of the registrar.</w:t>
            </w:r>
          </w:p>
        </w:tc>
        <w:tc>
          <w:tcPr>
            <w:tcW w:w="744" w:type="pct"/>
          </w:tcPr>
          <w:p w:rsidR="00716293" w:rsidRDefault="00716293" w:rsidP="00575731">
            <w:pPr>
              <w:pStyle w:val="DecimalAligned"/>
            </w:pPr>
          </w:p>
        </w:tc>
      </w:tr>
      <w:tr w:rsidR="00716293" w:rsidRPr="00187C90" w:rsidTr="00DB49AB">
        <w:trPr>
          <w:trHeight w:val="272"/>
        </w:trPr>
        <w:tc>
          <w:tcPr>
            <w:tcW w:w="1181" w:type="pct"/>
            <w:noWrap/>
          </w:tcPr>
          <w:p w:rsidR="00716293" w:rsidRPr="00585CE8" w:rsidRDefault="00716293" w:rsidP="00575731">
            <w:pPr>
              <w:rPr>
                <w:b/>
              </w:rPr>
            </w:pPr>
          </w:p>
        </w:tc>
        <w:tc>
          <w:tcPr>
            <w:tcW w:w="3075" w:type="pct"/>
          </w:tcPr>
          <w:p w:rsidR="00716293" w:rsidRDefault="00716293" w:rsidP="00DB49AB">
            <w:pPr>
              <w:pStyle w:val="DecimalAligned"/>
              <w:jc w:val="both"/>
            </w:pPr>
          </w:p>
        </w:tc>
        <w:tc>
          <w:tcPr>
            <w:tcW w:w="744" w:type="pct"/>
          </w:tcPr>
          <w:p w:rsidR="00716293" w:rsidRDefault="00716293" w:rsidP="00575731">
            <w:pPr>
              <w:pStyle w:val="DecimalAligned"/>
            </w:pPr>
          </w:p>
        </w:tc>
      </w:tr>
      <w:tr w:rsidR="00716293" w:rsidRPr="00187C90" w:rsidTr="00DB49AB">
        <w:trPr>
          <w:trHeight w:val="400"/>
        </w:trPr>
        <w:tc>
          <w:tcPr>
            <w:tcW w:w="1181" w:type="pct"/>
            <w:noWrap/>
          </w:tcPr>
          <w:p w:rsidR="00716293" w:rsidRPr="00585CE8" w:rsidRDefault="001357A2" w:rsidP="001357A2">
            <w:pPr>
              <w:rPr>
                <w:b/>
              </w:rPr>
            </w:pPr>
            <w:r w:rsidRPr="00585CE8">
              <w:rPr>
                <w:b/>
              </w:rPr>
              <w:t>Comp. Business Profile</w:t>
            </w:r>
          </w:p>
        </w:tc>
        <w:tc>
          <w:tcPr>
            <w:tcW w:w="3075" w:type="pct"/>
          </w:tcPr>
          <w:p w:rsidR="00716293" w:rsidRDefault="001357A2" w:rsidP="00DB49AB">
            <w:pPr>
              <w:pStyle w:val="DecimalAligned"/>
              <w:jc w:val="both"/>
            </w:pPr>
            <w:r>
              <w:t>By making a request online and paying a small application fee</w:t>
            </w:r>
          </w:p>
        </w:tc>
        <w:tc>
          <w:tcPr>
            <w:tcW w:w="744" w:type="pct"/>
          </w:tcPr>
          <w:p w:rsidR="00716293" w:rsidRDefault="00716293" w:rsidP="00575731">
            <w:pPr>
              <w:pStyle w:val="DecimalAligned"/>
            </w:pPr>
          </w:p>
        </w:tc>
      </w:tr>
      <w:tr w:rsidR="00716293" w:rsidRPr="00716293" w:rsidTr="00DB49AB">
        <w:trPr>
          <w:trHeight w:val="433"/>
        </w:trPr>
        <w:tc>
          <w:tcPr>
            <w:tcW w:w="1181" w:type="pct"/>
            <w:noWrap/>
          </w:tcPr>
          <w:p w:rsidR="00716293" w:rsidRPr="00585CE8" w:rsidRDefault="004224CC" w:rsidP="00575731">
            <w:pPr>
              <w:rPr>
                <w:b/>
              </w:rPr>
            </w:pPr>
            <w:r w:rsidRPr="00585CE8">
              <w:rPr>
                <w:b/>
              </w:rPr>
              <w:t>Bank Account</w:t>
            </w:r>
          </w:p>
        </w:tc>
        <w:tc>
          <w:tcPr>
            <w:tcW w:w="3075" w:type="pct"/>
          </w:tcPr>
          <w:p w:rsidR="00716293" w:rsidRDefault="00716293" w:rsidP="00DB49AB">
            <w:pPr>
              <w:pStyle w:val="DecimalAligned"/>
              <w:jc w:val="both"/>
            </w:pPr>
          </w:p>
        </w:tc>
        <w:tc>
          <w:tcPr>
            <w:tcW w:w="744" w:type="pct"/>
          </w:tcPr>
          <w:p w:rsidR="00716293" w:rsidRPr="00DB49AB" w:rsidRDefault="00DB49AB" w:rsidP="00575731">
            <w:pPr>
              <w:pStyle w:val="DecimalAligned"/>
              <w:rPr>
                <w:i/>
              </w:rPr>
            </w:pPr>
            <w:proofErr w:type="spellStart"/>
            <w:r w:rsidRPr="00DB49AB">
              <w:rPr>
                <w:i/>
              </w:rPr>
              <w:t>Intesa</w:t>
            </w:r>
            <w:proofErr w:type="spellEnd"/>
            <w:r w:rsidRPr="00DB49AB">
              <w:rPr>
                <w:i/>
              </w:rPr>
              <w:t>/UOB</w:t>
            </w:r>
          </w:p>
        </w:tc>
      </w:tr>
      <w:tr w:rsidR="00716293" w:rsidRPr="00211BE1" w:rsidTr="00DB49AB">
        <w:trPr>
          <w:trHeight w:val="272"/>
        </w:trPr>
        <w:tc>
          <w:tcPr>
            <w:tcW w:w="1181" w:type="pct"/>
            <w:noWrap/>
          </w:tcPr>
          <w:p w:rsidR="00716293" w:rsidRPr="00585CE8" w:rsidRDefault="004224CC" w:rsidP="00575731">
            <w:pPr>
              <w:rPr>
                <w:b/>
              </w:rPr>
            </w:pPr>
            <w:r w:rsidRPr="00585CE8">
              <w:rPr>
                <w:b/>
              </w:rPr>
              <w:t>Business License</w:t>
            </w:r>
          </w:p>
        </w:tc>
        <w:tc>
          <w:tcPr>
            <w:tcW w:w="3075" w:type="pct"/>
          </w:tcPr>
          <w:p w:rsidR="00716293" w:rsidRDefault="004224CC" w:rsidP="00DB49AB">
            <w:pPr>
              <w:pStyle w:val="DecimalAligned"/>
              <w:jc w:val="both"/>
            </w:pPr>
            <w:r>
              <w:t>Required for telecommunication business – To check</w:t>
            </w:r>
          </w:p>
          <w:p w:rsidR="00585CE8" w:rsidRDefault="00585CE8" w:rsidP="00DB49AB">
            <w:pPr>
              <w:pStyle w:val="DecimalAligned"/>
              <w:jc w:val="both"/>
            </w:pPr>
          </w:p>
        </w:tc>
        <w:tc>
          <w:tcPr>
            <w:tcW w:w="744" w:type="pct"/>
          </w:tcPr>
          <w:p w:rsidR="00716293" w:rsidRPr="00211BE1" w:rsidRDefault="00357A8C" w:rsidP="00575731">
            <w:pPr>
              <w:pStyle w:val="DecimalAligned"/>
              <w:rPr>
                <w:i/>
              </w:rPr>
            </w:pPr>
            <w:r>
              <w:rPr>
                <w:i/>
              </w:rPr>
              <w:t>Not required</w:t>
            </w:r>
          </w:p>
        </w:tc>
      </w:tr>
      <w:tr w:rsidR="00716293" w:rsidRPr="00187C90" w:rsidTr="00DB49AB">
        <w:trPr>
          <w:trHeight w:val="272"/>
        </w:trPr>
        <w:tc>
          <w:tcPr>
            <w:tcW w:w="1181" w:type="pct"/>
            <w:noWrap/>
          </w:tcPr>
          <w:p w:rsidR="00716293" w:rsidRPr="00585CE8" w:rsidRDefault="004224CC" w:rsidP="00575731">
            <w:pPr>
              <w:rPr>
                <w:b/>
              </w:rPr>
            </w:pPr>
            <w:r w:rsidRPr="00585CE8">
              <w:rPr>
                <w:b/>
              </w:rPr>
              <w:t>GST Registration</w:t>
            </w:r>
          </w:p>
        </w:tc>
        <w:tc>
          <w:tcPr>
            <w:tcW w:w="3075" w:type="pct"/>
          </w:tcPr>
          <w:p w:rsidR="00716293" w:rsidRDefault="004224CC" w:rsidP="00DB49AB">
            <w:pPr>
              <w:jc w:val="both"/>
            </w:pPr>
            <w:r>
              <w:t>If the projected annual revenue exceeds SGD 1 million</w:t>
            </w:r>
          </w:p>
          <w:p w:rsidR="00585CE8" w:rsidRPr="0048739E" w:rsidRDefault="00585CE8" w:rsidP="00DB49AB">
            <w:pPr>
              <w:jc w:val="both"/>
            </w:pPr>
          </w:p>
        </w:tc>
        <w:tc>
          <w:tcPr>
            <w:tcW w:w="744" w:type="pct"/>
          </w:tcPr>
          <w:p w:rsidR="00716293" w:rsidRPr="00AA3BF2" w:rsidRDefault="00716293" w:rsidP="00575731">
            <w:pPr>
              <w:pStyle w:val="DecimalAligned"/>
              <w:rPr>
                <w:i/>
                <w:highlight w:val="yellow"/>
              </w:rPr>
            </w:pPr>
          </w:p>
        </w:tc>
      </w:tr>
      <w:tr w:rsidR="004224CC" w:rsidRPr="00187C90" w:rsidTr="00DB49AB">
        <w:trPr>
          <w:trHeight w:val="272"/>
        </w:trPr>
        <w:tc>
          <w:tcPr>
            <w:tcW w:w="1181" w:type="pct"/>
            <w:noWrap/>
          </w:tcPr>
          <w:p w:rsidR="004224CC" w:rsidRPr="00585CE8" w:rsidRDefault="004224CC" w:rsidP="00575731">
            <w:pPr>
              <w:rPr>
                <w:b/>
              </w:rPr>
            </w:pPr>
            <w:r w:rsidRPr="00585CE8">
              <w:rPr>
                <w:b/>
              </w:rPr>
              <w:t>Financial Year End</w:t>
            </w:r>
          </w:p>
        </w:tc>
        <w:tc>
          <w:tcPr>
            <w:tcW w:w="3075" w:type="pct"/>
          </w:tcPr>
          <w:p w:rsidR="004224CC" w:rsidRDefault="004224CC" w:rsidP="00DB49AB">
            <w:pPr>
              <w:jc w:val="both"/>
            </w:pPr>
            <w:r>
              <w:t>The choice of the company’s FYE date is left for the company to decide.</w:t>
            </w:r>
          </w:p>
          <w:p w:rsidR="00585CE8" w:rsidRDefault="00585CE8" w:rsidP="00DB49AB">
            <w:pPr>
              <w:jc w:val="both"/>
            </w:pPr>
          </w:p>
        </w:tc>
        <w:tc>
          <w:tcPr>
            <w:tcW w:w="744" w:type="pct"/>
          </w:tcPr>
          <w:p w:rsidR="004224CC" w:rsidRPr="00AA3BF2" w:rsidRDefault="004224CC" w:rsidP="00575731">
            <w:pPr>
              <w:pStyle w:val="DecimalAligned"/>
              <w:rPr>
                <w:i/>
                <w:highlight w:val="yellow"/>
              </w:rPr>
            </w:pPr>
          </w:p>
        </w:tc>
      </w:tr>
      <w:tr w:rsidR="004224CC" w:rsidRPr="00211BE1" w:rsidTr="00DB49AB">
        <w:trPr>
          <w:trHeight w:val="272"/>
        </w:trPr>
        <w:tc>
          <w:tcPr>
            <w:tcW w:w="1181" w:type="pct"/>
            <w:noWrap/>
          </w:tcPr>
          <w:p w:rsidR="004224CC" w:rsidRPr="00585CE8" w:rsidRDefault="004224CC" w:rsidP="00575731">
            <w:pPr>
              <w:rPr>
                <w:b/>
              </w:rPr>
            </w:pPr>
            <w:r w:rsidRPr="00585CE8">
              <w:rPr>
                <w:b/>
              </w:rPr>
              <w:t>Auditors</w:t>
            </w:r>
          </w:p>
        </w:tc>
        <w:tc>
          <w:tcPr>
            <w:tcW w:w="3075" w:type="pct"/>
          </w:tcPr>
          <w:p w:rsidR="004224CC" w:rsidRDefault="004224CC" w:rsidP="00DB49AB">
            <w:pPr>
              <w:jc w:val="both"/>
            </w:pPr>
            <w:r>
              <w:t>Within 3 months from the date of incorporation</w:t>
            </w:r>
          </w:p>
          <w:p w:rsidR="00585CE8" w:rsidRDefault="00585CE8" w:rsidP="00DB49AB">
            <w:pPr>
              <w:jc w:val="both"/>
            </w:pPr>
          </w:p>
        </w:tc>
        <w:tc>
          <w:tcPr>
            <w:tcW w:w="744" w:type="pct"/>
          </w:tcPr>
          <w:p w:rsidR="004224CC" w:rsidRPr="00211BE1" w:rsidRDefault="00211BE1" w:rsidP="00575731">
            <w:pPr>
              <w:pStyle w:val="DecimalAligned"/>
              <w:rPr>
                <w:i/>
              </w:rPr>
            </w:pPr>
            <w:r w:rsidRPr="00211BE1">
              <w:rPr>
                <w:i/>
              </w:rPr>
              <w:t>PWC</w:t>
            </w:r>
            <w:r>
              <w:rPr>
                <w:i/>
              </w:rPr>
              <w:t xml:space="preserve"> </w:t>
            </w:r>
            <w:r w:rsidRPr="00211BE1">
              <w:rPr>
                <w:i/>
              </w:rPr>
              <w:t xml:space="preserve"> </w:t>
            </w:r>
            <w:r>
              <w:rPr>
                <w:i/>
              </w:rPr>
              <w:t>to check</w:t>
            </w:r>
          </w:p>
        </w:tc>
      </w:tr>
      <w:tr w:rsidR="004224CC" w:rsidRPr="00187C90" w:rsidTr="00DB49AB">
        <w:trPr>
          <w:trHeight w:val="272"/>
        </w:trPr>
        <w:tc>
          <w:tcPr>
            <w:tcW w:w="1181" w:type="pct"/>
            <w:noWrap/>
          </w:tcPr>
          <w:p w:rsidR="004224CC" w:rsidRPr="00585CE8" w:rsidRDefault="004224CC" w:rsidP="00575731">
            <w:pPr>
              <w:rPr>
                <w:b/>
              </w:rPr>
            </w:pPr>
            <w:r w:rsidRPr="00585CE8">
              <w:rPr>
                <w:b/>
              </w:rPr>
              <w:t>Accounting Records</w:t>
            </w:r>
          </w:p>
        </w:tc>
        <w:tc>
          <w:tcPr>
            <w:tcW w:w="3075" w:type="pct"/>
          </w:tcPr>
          <w:p w:rsidR="004224CC" w:rsidRDefault="004224CC" w:rsidP="00DB49AB">
            <w:pPr>
              <w:jc w:val="both"/>
            </w:pPr>
            <w:r>
              <w:t>For 5 years after the completion of the transactions or operations to which they relate</w:t>
            </w:r>
          </w:p>
          <w:p w:rsidR="00585CE8" w:rsidRDefault="00585CE8" w:rsidP="00DB49AB">
            <w:pPr>
              <w:jc w:val="both"/>
            </w:pPr>
          </w:p>
        </w:tc>
        <w:tc>
          <w:tcPr>
            <w:tcW w:w="744" w:type="pct"/>
          </w:tcPr>
          <w:p w:rsidR="004224CC" w:rsidRDefault="004224CC" w:rsidP="00575731">
            <w:pPr>
              <w:pStyle w:val="DecimalAligned"/>
            </w:pPr>
          </w:p>
        </w:tc>
      </w:tr>
      <w:tr w:rsidR="004224CC" w:rsidRPr="004224CC" w:rsidTr="00DB49AB">
        <w:trPr>
          <w:trHeight w:val="272"/>
        </w:trPr>
        <w:tc>
          <w:tcPr>
            <w:tcW w:w="1181" w:type="pct"/>
            <w:noWrap/>
          </w:tcPr>
          <w:p w:rsidR="004224CC" w:rsidRPr="00585CE8" w:rsidRDefault="004224CC" w:rsidP="00575731">
            <w:pPr>
              <w:rPr>
                <w:b/>
              </w:rPr>
            </w:pPr>
            <w:r w:rsidRPr="00585CE8">
              <w:rPr>
                <w:b/>
              </w:rPr>
              <w:t>Notification of changes</w:t>
            </w:r>
          </w:p>
        </w:tc>
        <w:tc>
          <w:tcPr>
            <w:tcW w:w="3075" w:type="pct"/>
          </w:tcPr>
          <w:p w:rsidR="004224CC" w:rsidRDefault="004224CC" w:rsidP="00DB49AB">
            <w:pPr>
              <w:jc w:val="both"/>
            </w:pPr>
            <w:r>
              <w:t>Each time a change occurs in the particulars of the company or to its officers, the change must be lodged with Registrar of Companies. Failure to do so will incur penalties.</w:t>
            </w:r>
          </w:p>
        </w:tc>
        <w:tc>
          <w:tcPr>
            <w:tcW w:w="744" w:type="pct"/>
          </w:tcPr>
          <w:p w:rsidR="004224CC" w:rsidRDefault="004224CC" w:rsidP="00575731">
            <w:pPr>
              <w:pStyle w:val="DecimalAligned"/>
            </w:pPr>
          </w:p>
        </w:tc>
      </w:tr>
      <w:tr w:rsidR="00DB49AB" w:rsidRPr="00716293" w:rsidTr="00DB49AB">
        <w:trPr>
          <w:cnfStyle w:val="010000000000"/>
          <w:trHeight w:val="272"/>
        </w:trPr>
        <w:tc>
          <w:tcPr>
            <w:tcW w:w="1181" w:type="pct"/>
            <w:noWrap/>
          </w:tcPr>
          <w:p w:rsidR="00716293" w:rsidRDefault="00716293" w:rsidP="00575731"/>
        </w:tc>
        <w:tc>
          <w:tcPr>
            <w:tcW w:w="3075" w:type="pct"/>
          </w:tcPr>
          <w:p w:rsidR="00716293" w:rsidRDefault="00716293" w:rsidP="00575731">
            <w:pPr>
              <w:pStyle w:val="DecimalAligned"/>
            </w:pPr>
          </w:p>
        </w:tc>
        <w:tc>
          <w:tcPr>
            <w:tcW w:w="744" w:type="pct"/>
          </w:tcPr>
          <w:p w:rsidR="00716293" w:rsidRDefault="00716293" w:rsidP="00575731">
            <w:pPr>
              <w:pStyle w:val="DecimalAligned"/>
            </w:pPr>
          </w:p>
        </w:tc>
      </w:tr>
    </w:tbl>
    <w:p w:rsidR="00716293" w:rsidRPr="008F223A" w:rsidRDefault="00716293" w:rsidP="00716293">
      <w:pPr>
        <w:rPr>
          <w:lang w:val="en-US"/>
        </w:rPr>
      </w:pPr>
    </w:p>
    <w:p w:rsidR="004224CC" w:rsidRPr="00585CE8" w:rsidRDefault="004224CC" w:rsidP="004224CC">
      <w:pPr>
        <w:rPr>
          <w:b/>
          <w:sz w:val="28"/>
          <w:szCs w:val="28"/>
        </w:rPr>
      </w:pPr>
      <w:r w:rsidRPr="00585CE8">
        <w:rPr>
          <w:b/>
          <w:sz w:val="28"/>
          <w:szCs w:val="28"/>
        </w:rPr>
        <w:t>ANNUAL FILLING</w:t>
      </w:r>
    </w:p>
    <w:tbl>
      <w:tblPr>
        <w:tblStyle w:val="MediumShading2-Accent5"/>
        <w:tblW w:w="5000" w:type="pct"/>
        <w:tblLook w:val="0660"/>
      </w:tblPr>
      <w:tblGrid>
        <w:gridCol w:w="2098"/>
        <w:gridCol w:w="6175"/>
        <w:gridCol w:w="1581"/>
      </w:tblGrid>
      <w:tr w:rsidR="004224CC" w:rsidTr="00575731">
        <w:trPr>
          <w:cnfStyle w:val="100000000000"/>
          <w:trHeight w:val="272"/>
        </w:trPr>
        <w:tc>
          <w:tcPr>
            <w:tcW w:w="1065" w:type="pct"/>
            <w:noWrap/>
          </w:tcPr>
          <w:p w:rsidR="004224CC" w:rsidRDefault="004224CC" w:rsidP="00575731">
            <w:r>
              <w:t>STEP</w:t>
            </w:r>
          </w:p>
        </w:tc>
        <w:tc>
          <w:tcPr>
            <w:tcW w:w="3133" w:type="pct"/>
          </w:tcPr>
          <w:p w:rsidR="004224CC" w:rsidRDefault="004224CC" w:rsidP="00575731">
            <w:r>
              <w:t>DESCRIPTION</w:t>
            </w:r>
          </w:p>
        </w:tc>
        <w:tc>
          <w:tcPr>
            <w:tcW w:w="802" w:type="pct"/>
          </w:tcPr>
          <w:p w:rsidR="004224CC" w:rsidRDefault="004224CC" w:rsidP="00575731">
            <w:r>
              <w:t>CHECK</w:t>
            </w:r>
          </w:p>
        </w:tc>
      </w:tr>
      <w:tr w:rsidR="004224CC" w:rsidRPr="00211BE1" w:rsidTr="00575731">
        <w:trPr>
          <w:trHeight w:val="544"/>
        </w:trPr>
        <w:tc>
          <w:tcPr>
            <w:tcW w:w="1065" w:type="pct"/>
            <w:noWrap/>
          </w:tcPr>
          <w:p w:rsidR="004224CC" w:rsidRPr="00DB49AB" w:rsidRDefault="004224CC" w:rsidP="00575731">
            <w:pPr>
              <w:rPr>
                <w:b/>
              </w:rPr>
            </w:pPr>
            <w:r w:rsidRPr="00DB49AB">
              <w:rPr>
                <w:b/>
              </w:rPr>
              <w:t>Financial Account</w:t>
            </w:r>
          </w:p>
        </w:tc>
        <w:tc>
          <w:tcPr>
            <w:tcW w:w="3133" w:type="pct"/>
          </w:tcPr>
          <w:p w:rsidR="004224CC" w:rsidRDefault="004224CC" w:rsidP="00DB49AB">
            <w:pPr>
              <w:jc w:val="both"/>
            </w:pPr>
            <w:r>
              <w:t>In accordance with the Financial Reporting Standards of Singapore, it should consist of Statement of Comprehensive Income (i.e. Profit and Loss Account), Statement of Financial Position (i.e. Balance Sheet), Cash Flow Statement, and Statement of Changes in Equity.</w:t>
            </w:r>
          </w:p>
        </w:tc>
        <w:tc>
          <w:tcPr>
            <w:tcW w:w="802" w:type="pct"/>
          </w:tcPr>
          <w:p w:rsidR="004224CC" w:rsidRPr="00211BE1" w:rsidRDefault="00211BE1" w:rsidP="00575731">
            <w:pPr>
              <w:pStyle w:val="DecimalAligned"/>
              <w:rPr>
                <w:i/>
              </w:rPr>
            </w:pPr>
            <w:r w:rsidRPr="00211BE1">
              <w:rPr>
                <w:i/>
              </w:rPr>
              <w:t xml:space="preserve">Account </w:t>
            </w:r>
          </w:p>
        </w:tc>
      </w:tr>
      <w:tr w:rsidR="004224CC" w:rsidRPr="00211BE1" w:rsidTr="00575731">
        <w:trPr>
          <w:trHeight w:val="272"/>
        </w:trPr>
        <w:tc>
          <w:tcPr>
            <w:tcW w:w="1065" w:type="pct"/>
            <w:noWrap/>
          </w:tcPr>
          <w:p w:rsidR="004224CC" w:rsidRPr="00DB49AB" w:rsidRDefault="004224CC" w:rsidP="00575731">
            <w:pPr>
              <w:rPr>
                <w:b/>
              </w:rPr>
            </w:pPr>
          </w:p>
        </w:tc>
        <w:tc>
          <w:tcPr>
            <w:tcW w:w="3133" w:type="pct"/>
          </w:tcPr>
          <w:p w:rsidR="004224CC" w:rsidRDefault="004224CC" w:rsidP="00DB49AB">
            <w:pPr>
              <w:pStyle w:val="DecimalAligned"/>
              <w:jc w:val="both"/>
            </w:pPr>
          </w:p>
        </w:tc>
        <w:tc>
          <w:tcPr>
            <w:tcW w:w="802" w:type="pct"/>
          </w:tcPr>
          <w:p w:rsidR="004224CC" w:rsidRDefault="004224CC" w:rsidP="00575731">
            <w:pPr>
              <w:pStyle w:val="DecimalAligned"/>
            </w:pPr>
          </w:p>
        </w:tc>
      </w:tr>
      <w:tr w:rsidR="004224CC" w:rsidRPr="00187C90" w:rsidTr="00585CE8">
        <w:trPr>
          <w:trHeight w:val="915"/>
        </w:trPr>
        <w:tc>
          <w:tcPr>
            <w:tcW w:w="1065" w:type="pct"/>
            <w:noWrap/>
          </w:tcPr>
          <w:p w:rsidR="004224CC" w:rsidRPr="00DB49AB" w:rsidRDefault="004224CC" w:rsidP="00575731">
            <w:pPr>
              <w:rPr>
                <w:b/>
              </w:rPr>
            </w:pPr>
            <w:r w:rsidRPr="00DB49AB">
              <w:rPr>
                <w:b/>
              </w:rPr>
              <w:t>ECI</w:t>
            </w:r>
          </w:p>
        </w:tc>
        <w:tc>
          <w:tcPr>
            <w:tcW w:w="3133" w:type="pct"/>
          </w:tcPr>
          <w:p w:rsidR="00585CE8" w:rsidRDefault="004224CC" w:rsidP="00DB49AB">
            <w:pPr>
              <w:pStyle w:val="DecimalAligned"/>
              <w:jc w:val="both"/>
            </w:pPr>
            <w:r>
              <w:t xml:space="preserve">Estimated Chargeable Incomes. Required to declare the revenue amount and by filing ECI form with </w:t>
            </w:r>
            <w:r w:rsidR="00585CE8">
              <w:t xml:space="preserve">IRAS </w:t>
            </w:r>
            <w:r>
              <w:t xml:space="preserve"> within 3 months of the Financial Year End for the company.</w:t>
            </w:r>
          </w:p>
        </w:tc>
        <w:tc>
          <w:tcPr>
            <w:tcW w:w="802" w:type="pct"/>
          </w:tcPr>
          <w:p w:rsidR="004224CC" w:rsidRDefault="004224CC" w:rsidP="00575731">
            <w:pPr>
              <w:pStyle w:val="DecimalAligned"/>
            </w:pPr>
          </w:p>
        </w:tc>
      </w:tr>
      <w:tr w:rsidR="004224CC" w:rsidRPr="00187C90" w:rsidTr="00585CE8">
        <w:trPr>
          <w:trHeight w:val="406"/>
        </w:trPr>
        <w:tc>
          <w:tcPr>
            <w:tcW w:w="1065" w:type="pct"/>
            <w:noWrap/>
          </w:tcPr>
          <w:p w:rsidR="004224CC" w:rsidRPr="00DB49AB" w:rsidRDefault="00585CE8" w:rsidP="00575731">
            <w:pPr>
              <w:rPr>
                <w:b/>
              </w:rPr>
            </w:pPr>
            <w:r w:rsidRPr="00DB49AB">
              <w:rPr>
                <w:b/>
              </w:rPr>
              <w:t>Audit</w:t>
            </w:r>
          </w:p>
        </w:tc>
        <w:tc>
          <w:tcPr>
            <w:tcW w:w="3133" w:type="pct"/>
          </w:tcPr>
          <w:p w:rsidR="00585CE8" w:rsidRDefault="00585CE8" w:rsidP="00DB49AB">
            <w:pPr>
              <w:pStyle w:val="DecimalAligned"/>
              <w:jc w:val="both"/>
            </w:pPr>
            <w:r>
              <w:t>Once the financial accounts are ready</w:t>
            </w:r>
          </w:p>
        </w:tc>
        <w:tc>
          <w:tcPr>
            <w:tcW w:w="802" w:type="pct"/>
          </w:tcPr>
          <w:p w:rsidR="004224CC" w:rsidRDefault="004224CC" w:rsidP="00575731">
            <w:pPr>
              <w:pStyle w:val="DecimalAligned"/>
            </w:pPr>
          </w:p>
        </w:tc>
      </w:tr>
      <w:tr w:rsidR="004224CC" w:rsidRPr="00187C90" w:rsidTr="00585CE8">
        <w:trPr>
          <w:trHeight w:val="721"/>
        </w:trPr>
        <w:tc>
          <w:tcPr>
            <w:tcW w:w="1065" w:type="pct"/>
            <w:noWrap/>
          </w:tcPr>
          <w:p w:rsidR="004224CC" w:rsidRPr="00DB49AB" w:rsidRDefault="00585CE8" w:rsidP="00575731">
            <w:pPr>
              <w:rPr>
                <w:b/>
              </w:rPr>
            </w:pPr>
            <w:r w:rsidRPr="00DB49AB">
              <w:rPr>
                <w:b/>
              </w:rPr>
              <w:t>AGM</w:t>
            </w:r>
          </w:p>
        </w:tc>
        <w:tc>
          <w:tcPr>
            <w:tcW w:w="3133" w:type="pct"/>
          </w:tcPr>
          <w:p w:rsidR="00585CE8" w:rsidRDefault="00585CE8" w:rsidP="00DB49AB">
            <w:pPr>
              <w:pStyle w:val="DecimalAligned"/>
              <w:jc w:val="both"/>
            </w:pPr>
            <w:r>
              <w:t>Annual General Meeting, once every calendar year. The first AGM must be held within 18 months of its incorporation.</w:t>
            </w:r>
          </w:p>
        </w:tc>
        <w:tc>
          <w:tcPr>
            <w:tcW w:w="802" w:type="pct"/>
          </w:tcPr>
          <w:p w:rsidR="004224CC" w:rsidRDefault="004224CC" w:rsidP="00575731">
            <w:pPr>
              <w:pStyle w:val="DecimalAligned"/>
            </w:pPr>
          </w:p>
        </w:tc>
      </w:tr>
      <w:tr w:rsidR="004224CC" w:rsidRPr="00187C90" w:rsidTr="00575731">
        <w:trPr>
          <w:trHeight w:val="272"/>
        </w:trPr>
        <w:tc>
          <w:tcPr>
            <w:tcW w:w="1065" w:type="pct"/>
            <w:noWrap/>
          </w:tcPr>
          <w:p w:rsidR="004224CC" w:rsidRPr="00DB49AB" w:rsidRDefault="00585CE8" w:rsidP="00575731">
            <w:pPr>
              <w:rPr>
                <w:b/>
              </w:rPr>
            </w:pPr>
            <w:r w:rsidRPr="00DB49AB">
              <w:rPr>
                <w:b/>
              </w:rPr>
              <w:t>AR</w:t>
            </w:r>
          </w:p>
        </w:tc>
        <w:tc>
          <w:tcPr>
            <w:tcW w:w="3133" w:type="pct"/>
          </w:tcPr>
          <w:p w:rsidR="004224CC" w:rsidRDefault="00585CE8" w:rsidP="00DB49AB">
            <w:pPr>
              <w:jc w:val="both"/>
            </w:pPr>
            <w:r>
              <w:t>Annual Return, required within 1 month of AGM</w:t>
            </w:r>
          </w:p>
          <w:p w:rsidR="00585CE8" w:rsidRPr="0048739E" w:rsidRDefault="00585CE8" w:rsidP="00DB49AB">
            <w:pPr>
              <w:jc w:val="both"/>
            </w:pPr>
          </w:p>
        </w:tc>
        <w:tc>
          <w:tcPr>
            <w:tcW w:w="802" w:type="pct"/>
          </w:tcPr>
          <w:p w:rsidR="004224CC" w:rsidRDefault="004224CC" w:rsidP="00575731">
            <w:pPr>
              <w:pStyle w:val="DecimalAligned"/>
            </w:pPr>
          </w:p>
        </w:tc>
      </w:tr>
      <w:tr w:rsidR="00585CE8" w:rsidRPr="00187C90" w:rsidTr="00575731">
        <w:trPr>
          <w:trHeight w:val="272"/>
        </w:trPr>
        <w:tc>
          <w:tcPr>
            <w:tcW w:w="1065" w:type="pct"/>
            <w:noWrap/>
          </w:tcPr>
          <w:p w:rsidR="00585CE8" w:rsidRPr="00DB49AB" w:rsidRDefault="00585CE8" w:rsidP="00575731">
            <w:pPr>
              <w:rPr>
                <w:b/>
              </w:rPr>
            </w:pPr>
            <w:r w:rsidRPr="00DB49AB">
              <w:rPr>
                <w:b/>
              </w:rPr>
              <w:t>ATR</w:t>
            </w:r>
          </w:p>
        </w:tc>
        <w:tc>
          <w:tcPr>
            <w:tcW w:w="3133" w:type="pct"/>
          </w:tcPr>
          <w:p w:rsidR="00585CE8" w:rsidRDefault="00585CE8" w:rsidP="00DB49AB">
            <w:pPr>
              <w:jc w:val="both"/>
            </w:pPr>
            <w:r>
              <w:t>Annual Tax Return, with IRAS by November 30</w:t>
            </w:r>
          </w:p>
        </w:tc>
        <w:tc>
          <w:tcPr>
            <w:tcW w:w="802" w:type="pct"/>
          </w:tcPr>
          <w:p w:rsidR="00585CE8" w:rsidRDefault="00585CE8" w:rsidP="00575731">
            <w:pPr>
              <w:pStyle w:val="DecimalAligned"/>
            </w:pPr>
          </w:p>
        </w:tc>
      </w:tr>
      <w:tr w:rsidR="004224CC" w:rsidRPr="00187C90" w:rsidTr="006F5FBB">
        <w:trPr>
          <w:cnfStyle w:val="010000000000"/>
          <w:trHeight w:val="131"/>
        </w:trPr>
        <w:tc>
          <w:tcPr>
            <w:tcW w:w="1065" w:type="pct"/>
            <w:noWrap/>
          </w:tcPr>
          <w:p w:rsidR="004224CC" w:rsidRPr="006F5FBB" w:rsidRDefault="004224CC" w:rsidP="00575731">
            <w:pPr>
              <w:rPr>
                <w:sz w:val="10"/>
                <w:szCs w:val="10"/>
              </w:rPr>
            </w:pPr>
          </w:p>
        </w:tc>
        <w:tc>
          <w:tcPr>
            <w:tcW w:w="3133" w:type="pct"/>
          </w:tcPr>
          <w:p w:rsidR="004224CC" w:rsidRDefault="004224CC" w:rsidP="00575731">
            <w:pPr>
              <w:pStyle w:val="DecimalAligned"/>
            </w:pPr>
          </w:p>
        </w:tc>
        <w:tc>
          <w:tcPr>
            <w:tcW w:w="802" w:type="pct"/>
          </w:tcPr>
          <w:p w:rsidR="004224CC" w:rsidRDefault="004224CC" w:rsidP="00575731">
            <w:pPr>
              <w:pStyle w:val="DecimalAligned"/>
            </w:pPr>
          </w:p>
        </w:tc>
      </w:tr>
    </w:tbl>
    <w:p w:rsidR="00716293" w:rsidRPr="008F223A" w:rsidRDefault="00716293" w:rsidP="00585CE8">
      <w:pPr>
        <w:rPr>
          <w:lang w:val="en-US"/>
        </w:rPr>
      </w:pPr>
    </w:p>
    <w:sectPr w:rsidR="00716293" w:rsidRPr="008F223A" w:rsidSect="008566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223A"/>
    <w:rsid w:val="001357A2"/>
    <w:rsid w:val="00187C90"/>
    <w:rsid w:val="00211BE1"/>
    <w:rsid w:val="002545D0"/>
    <w:rsid w:val="00357A8C"/>
    <w:rsid w:val="004224CC"/>
    <w:rsid w:val="0048739E"/>
    <w:rsid w:val="00585CE8"/>
    <w:rsid w:val="006F5FBB"/>
    <w:rsid w:val="00716293"/>
    <w:rsid w:val="0074793D"/>
    <w:rsid w:val="00856623"/>
    <w:rsid w:val="008F223A"/>
    <w:rsid w:val="00AA3BF2"/>
    <w:rsid w:val="00AD752E"/>
    <w:rsid w:val="00CF129A"/>
    <w:rsid w:val="00D67315"/>
    <w:rsid w:val="00D83C8F"/>
    <w:rsid w:val="00DB49AB"/>
    <w:rsid w:val="00F62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8F223A"/>
    <w:pPr>
      <w:tabs>
        <w:tab w:val="decimal" w:pos="360"/>
      </w:tabs>
    </w:pPr>
    <w:rPr>
      <w:rFonts w:eastAsiaTheme="minorEastAsia"/>
      <w:lang w:val="en-US"/>
    </w:rPr>
  </w:style>
  <w:style w:type="paragraph" w:styleId="FootnoteText">
    <w:name w:val="footnote text"/>
    <w:basedOn w:val="Normal"/>
    <w:link w:val="FootnoteTextChar"/>
    <w:uiPriority w:val="99"/>
    <w:unhideWhenUsed/>
    <w:rsid w:val="008F223A"/>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8F223A"/>
    <w:rPr>
      <w:rFonts w:eastAsiaTheme="minorEastAsia"/>
      <w:sz w:val="20"/>
      <w:szCs w:val="20"/>
      <w:lang w:val="en-US"/>
    </w:rPr>
  </w:style>
  <w:style w:type="character" w:styleId="SubtleEmphasis">
    <w:name w:val="Subtle Emphasis"/>
    <w:basedOn w:val="DefaultParagraphFont"/>
    <w:uiPriority w:val="19"/>
    <w:qFormat/>
    <w:rsid w:val="008F223A"/>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8F223A"/>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AD752E"/>
    <w:rPr>
      <w:i/>
      <w:iCs/>
    </w:rPr>
  </w:style>
  <w:style w:type="character" w:styleId="Strong">
    <w:name w:val="Strong"/>
    <w:basedOn w:val="DefaultParagraphFont"/>
    <w:uiPriority w:val="22"/>
    <w:qFormat/>
    <w:rsid w:val="00AD752E"/>
    <w:rPr>
      <w:b/>
      <w:bCs/>
    </w:rPr>
  </w:style>
</w:styles>
</file>

<file path=word/webSettings.xml><?xml version="1.0" encoding="utf-8"?>
<w:webSettings xmlns:r="http://schemas.openxmlformats.org/officeDocument/2006/relationships" xmlns:w="http://schemas.openxmlformats.org/wordprocessingml/2006/main">
  <w:divs>
    <w:div w:id="643657545">
      <w:bodyDiv w:val="1"/>
      <w:marLeft w:val="0"/>
      <w:marRight w:val="0"/>
      <w:marTop w:val="0"/>
      <w:marBottom w:val="0"/>
      <w:divBdr>
        <w:top w:val="none" w:sz="0" w:space="0" w:color="auto"/>
        <w:left w:val="none" w:sz="0" w:space="0" w:color="auto"/>
        <w:bottom w:val="none" w:sz="0" w:space="0" w:color="auto"/>
        <w:right w:val="none" w:sz="0" w:space="0" w:color="auto"/>
      </w:divBdr>
    </w:div>
    <w:div w:id="12011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Simonetta</cp:lastModifiedBy>
  <cp:revision>6</cp:revision>
  <cp:lastPrinted>2014-09-19T08:00:00Z</cp:lastPrinted>
  <dcterms:created xsi:type="dcterms:W3CDTF">2014-09-16T13:10:00Z</dcterms:created>
  <dcterms:modified xsi:type="dcterms:W3CDTF">2015-05-21T13:03:00Z</dcterms:modified>
</cp:coreProperties>
</file>