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2" w:rsidRDefault="00FD5AF2" w:rsidP="00743CCA">
      <w:pPr>
        <w:rPr>
          <w:lang w:val="it-IT"/>
        </w:rPr>
      </w:pPr>
    </w:p>
    <w:p w:rsidR="00FD5AF2" w:rsidRPr="00FD5AF2" w:rsidRDefault="00FD5AF2" w:rsidP="00FD5AF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MT"/>
          <w:b/>
          <w:u w:val="single"/>
          <w:lang w:eastAsia="it-IT"/>
        </w:rPr>
      </w:pPr>
      <w:r w:rsidRPr="00FD5AF2">
        <w:rPr>
          <w:rFonts w:asciiTheme="minorHAnsi" w:hAnsiTheme="minorHAnsi" w:cs="ArialMT"/>
          <w:b/>
          <w:u w:val="single"/>
          <w:lang w:eastAsia="it-IT"/>
        </w:rPr>
        <w:t>EXPORT DECLARATION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</w:p>
    <w:p w:rsidR="00FD5AF2" w:rsidRP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While accepting all consequent responsibilities we do declare that for all the goods listed in export </w:t>
      </w:r>
      <w:proofErr w:type="spellStart"/>
      <w:r>
        <w:rPr>
          <w:rFonts w:asciiTheme="minorHAnsi" w:hAnsiTheme="minorHAnsi" w:cs="ArialMT"/>
          <w:sz w:val="20"/>
          <w:szCs w:val="20"/>
          <w:lang w:eastAsia="it-IT"/>
        </w:rPr>
        <w:t>proforma</w:t>
      </w:r>
      <w:proofErr w:type="spellEnd"/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invoice </w:t>
      </w:r>
      <w:r>
        <w:rPr>
          <w:rFonts w:asciiTheme="minorHAnsi" w:hAnsiTheme="minorHAnsi" w:cs="ArialMT"/>
          <w:sz w:val="20"/>
          <w:szCs w:val="20"/>
          <w:lang w:eastAsia="it-IT"/>
        </w:rPr>
        <w:t>no._____/2014 any export licens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e is required and therefore: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WASHINGTON CONVENTION - Y900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 included in the list of products attached to EU Council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Regulation (EC) 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338/97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about protection of endangered flora and fauna species through trade control.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DUAL USE - Y901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Goods are not included in the list of products attached to EU Council Regulation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UE</w:t>
      </w:r>
      <w:r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1232/2011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, instituting a control system on dual use exports, transfers, brokerage activities or transitory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products and technologies, therefore goods are only for civil use. Products are intended for dual use when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they can be used for both civil and military purposes.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OZONE - Y902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 required of export licen</w:t>
      </w:r>
      <w:r>
        <w:rPr>
          <w:rFonts w:asciiTheme="minorHAnsi" w:hAnsiTheme="minorHAnsi" w:cs="ArialMT"/>
          <w:sz w:val="20"/>
          <w:szCs w:val="20"/>
          <w:lang w:eastAsia="it-IT"/>
        </w:rPr>
        <w:t>s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e for substances that cause ozone layer reduction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(Controlled substances, new substances, products and devices depending on those substances) as provided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by EU Council Regulation (EC) 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1005/2009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.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CULTURAL GOODS - Y903/Y905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 included in the list of products as per EU Council Regulation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(EC) 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116/2009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, ruling export of cultural goods.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GOODS USED FOR DEATH PENALTY, TORTURE ETC. - Y904 – Y906 – Y907 – Y908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 are not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included in the list of products attached to EU Council Regulation (EC) 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1236/2005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, ruling trade of certain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that could be used for death penalty, torture or for other cruel, inhuman or demeaning treatments or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penalties; goods are not included in other goods listed in TR notes connected to regulation; goods are not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included among the ones to be used by civil or military personnel of a member state during an EU or UN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peace-keeping operation or crisis management in the third country of destination or during an operation based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on agreements between member states or third countries for </w:t>
      </w:r>
      <w:proofErr w:type="spellStart"/>
      <w:r w:rsidRPr="00FD5AF2">
        <w:rPr>
          <w:rFonts w:asciiTheme="minorHAnsi" w:hAnsiTheme="minorHAnsi" w:cs="ArialMT"/>
          <w:sz w:val="20"/>
          <w:szCs w:val="20"/>
          <w:lang w:eastAsia="it-IT"/>
        </w:rPr>
        <w:t>defence</w:t>
      </w:r>
      <w:proofErr w:type="spellEnd"/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 purposes; export to member states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overseas territories if goods are used by an authority entitled of law enforcement in the territory or country of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destination as well as in the metropolitan territory of the member state to which the territory belongs.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MT"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CHEMICAL SUBSTANCES – Y916 – Y917 – Y919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 ruled by EU Council Regulation (EC) nr.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689/2008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on export of dangerous chemical substances.</w:t>
      </w:r>
    </w:p>
    <w:p w:rsidR="00FD5AF2" w:rsidRDefault="00FD5AF2" w:rsidP="00FD5A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CAT</w:t>
      </w:r>
      <w:r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AND DOG FUR – Y922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 included in the list of products attached to EU Council Regulation (EC)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1523/2007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,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therefore do not contain dog and/or cat fur. </w:t>
      </w:r>
    </w:p>
    <w:p w:rsidR="00FD5AF2" w:rsidRPr="00FD5AF2" w:rsidRDefault="00FD5AF2" w:rsidP="00FD5AF2">
      <w:pPr>
        <w:pStyle w:val="ListParagrap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FLORINATED GASES – Y 926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included in list of products and devices containing fluorinated greenhouse gases or depending to those gases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to work, as per EU Council Regulation (EC) 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>842/2006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. </w:t>
      </w:r>
    </w:p>
    <w:p w:rsidR="00FD5AF2" w:rsidRPr="00FD5AF2" w:rsidRDefault="00FD5AF2" w:rsidP="00FD5AF2">
      <w:pPr>
        <w:pStyle w:val="ListParagrap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</w:p>
    <w:p w:rsidR="00FD5AF2" w:rsidRPr="00FD5AF2" w:rsidRDefault="00FD5AF2" w:rsidP="00FD5A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sz w:val="20"/>
          <w:szCs w:val="20"/>
          <w:lang w:eastAsia="it-IT"/>
        </w:rPr>
      </w:pP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Y927 CERTIFICATE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Goods are not ruled by EU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 xml:space="preserve">Council Regulation (EC) nr. </w:t>
      </w:r>
      <w:r w:rsidRPr="00FD5AF2">
        <w:rPr>
          <w:rFonts w:asciiTheme="minorHAnsi" w:hAnsiTheme="minorHAnsi" w:cs="Arial-BoldMT"/>
          <w:b/>
          <w:bCs/>
          <w:sz w:val="20"/>
          <w:szCs w:val="20"/>
          <w:lang w:eastAsia="it-IT"/>
        </w:rPr>
        <w:t xml:space="preserve">1005/08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instituting rules to prevent, discourage and eliminate illegal , not declared</w:t>
      </w:r>
      <w:r>
        <w:rPr>
          <w:rFonts w:asciiTheme="minorHAnsi" w:hAnsiTheme="minorHAnsi" w:cs="ArialMT"/>
          <w:sz w:val="20"/>
          <w:szCs w:val="20"/>
          <w:lang w:eastAsia="it-IT"/>
        </w:rPr>
        <w:t xml:space="preserve"> </w:t>
      </w:r>
      <w:r w:rsidRPr="00FD5AF2">
        <w:rPr>
          <w:rFonts w:asciiTheme="minorHAnsi" w:hAnsiTheme="minorHAnsi" w:cs="ArialMT"/>
          <w:sz w:val="20"/>
          <w:szCs w:val="20"/>
          <w:lang w:eastAsia="it-IT"/>
        </w:rPr>
        <w:t>and not ruled fishing activities.</w:t>
      </w:r>
    </w:p>
    <w:p w:rsidR="00FD5AF2" w:rsidRDefault="00FD5AF2" w:rsidP="00FD5AF2">
      <w:pPr>
        <w:jc w:val="both"/>
        <w:rPr>
          <w:rFonts w:asciiTheme="minorHAnsi" w:hAnsiTheme="minorHAnsi" w:cs="ArialMT"/>
          <w:sz w:val="20"/>
          <w:szCs w:val="20"/>
          <w:lang w:val="it-IT" w:eastAsia="it-IT"/>
        </w:rPr>
      </w:pPr>
    </w:p>
    <w:p w:rsidR="00FD5AF2" w:rsidRDefault="00FD5AF2" w:rsidP="00FD5AF2">
      <w:pPr>
        <w:jc w:val="both"/>
        <w:rPr>
          <w:rFonts w:asciiTheme="minorHAnsi" w:hAnsiTheme="minorHAnsi" w:cs="ArialMT"/>
          <w:sz w:val="20"/>
          <w:szCs w:val="20"/>
          <w:lang w:val="it-IT" w:eastAsia="it-IT"/>
        </w:rPr>
      </w:pPr>
    </w:p>
    <w:p w:rsidR="00FD5AF2" w:rsidRDefault="00FD5AF2" w:rsidP="00FD5AF2">
      <w:pPr>
        <w:jc w:val="both"/>
        <w:rPr>
          <w:rFonts w:asciiTheme="minorHAnsi" w:hAnsiTheme="minorHAnsi" w:cs="ArialMT"/>
          <w:sz w:val="20"/>
          <w:szCs w:val="20"/>
          <w:lang w:val="it-IT" w:eastAsia="it-IT"/>
        </w:rPr>
      </w:pPr>
    </w:p>
    <w:p w:rsidR="003F4319" w:rsidRPr="00FD5AF2" w:rsidRDefault="003F4319" w:rsidP="00FD5AF2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sectPr w:rsidR="003F4319" w:rsidRPr="00FD5AF2" w:rsidSect="00CA0A92">
      <w:headerReference w:type="default" r:id="rId10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1E2" w:rsidRDefault="006251E2">
    <w:pPr>
      <w:pStyle w:val="Header"/>
      <w:jc w:val="center"/>
      <w:rPr>
        <w:rFonts w:ascii="Arial" w:hAnsi="Arial" w:cs="Arial"/>
        <w:sz w:val="18"/>
        <w:szCs w:val="18"/>
      </w:rPr>
    </w:pPr>
  </w:p>
  <w:p w:rsidR="006251E2" w:rsidRPr="00C36AAE" w:rsidRDefault="006251E2">
    <w:pPr>
      <w:pStyle w:val="Header"/>
      <w:pBdr>
        <w:top w:val="single" w:sz="1" w:space="1" w:color="000000"/>
      </w:pBdr>
      <w:jc w:val="center"/>
      <w:rPr>
        <w:rFonts w:ascii="Arial" w:hAnsi="Arial" w:cs="Arial"/>
        <w:b/>
        <w:sz w:val="28"/>
        <w:szCs w:val="28"/>
        <w:lang w:val="it-IT"/>
      </w:rPr>
    </w:pPr>
    <w:r w:rsidRPr="00C36AAE">
      <w:rPr>
        <w:rFonts w:ascii="Arial" w:hAnsi="Arial" w:cs="Arial"/>
        <w:b/>
        <w:sz w:val="28"/>
        <w:szCs w:val="28"/>
        <w:lang w:val="it-IT"/>
      </w:rPr>
      <w:t>HT S.r.l.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6251E2" w:rsidRDefault="006251E2">
    <w:pPr>
      <w:pStyle w:val="Head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1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2" w:history="1">
      <w:r w:rsidRPr="00615573">
        <w:rPr>
          <w:rStyle w:val="Hyperlink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6251E2" w:rsidRPr="006F5435" w:rsidRDefault="006251E2">
    <w:pPr>
      <w:pStyle w:val="Header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 w:rsidR="005B32F2"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 w:rsidR="005B32F2">
      <w:rPr>
        <w:rFonts w:ascii="Arial" w:hAnsi="Arial" w:cs="Arial"/>
        <w:sz w:val="18"/>
        <w:szCs w:val="18"/>
        <w:lang w:val="it-IT"/>
      </w:rPr>
      <w:t>57</w:t>
    </w:r>
    <w:r>
      <w:rPr>
        <w:rFonts w:ascii="Arial" w:hAnsi="Arial" w:cs="Arial"/>
        <w:sz w:val="18"/>
        <w:szCs w:val="18"/>
        <w:lang w:val="it-IT"/>
      </w:rPr>
      <w:t>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6251E2" w:rsidRPr="006F5435" w:rsidRDefault="006251E2">
    <w:pPr>
      <w:pStyle w:val="Header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312A3"/>
    <w:multiLevelType w:val="hybridMultilevel"/>
    <w:tmpl w:val="2EB42596"/>
    <w:lvl w:ilvl="0" w:tplc="734A58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37B82"/>
    <w:rsid w:val="00054AE4"/>
    <w:rsid w:val="00057B3B"/>
    <w:rsid w:val="00062AF9"/>
    <w:rsid w:val="00070883"/>
    <w:rsid w:val="00080444"/>
    <w:rsid w:val="000A4886"/>
    <w:rsid w:val="000D0DDD"/>
    <w:rsid w:val="000D6F5D"/>
    <w:rsid w:val="001110D7"/>
    <w:rsid w:val="00117F0D"/>
    <w:rsid w:val="00123C2F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0B10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734C8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E2C9A"/>
    <w:rsid w:val="003E40E7"/>
    <w:rsid w:val="003E4877"/>
    <w:rsid w:val="003F025E"/>
    <w:rsid w:val="003F40F0"/>
    <w:rsid w:val="003F4319"/>
    <w:rsid w:val="004009E1"/>
    <w:rsid w:val="00401406"/>
    <w:rsid w:val="00414D6E"/>
    <w:rsid w:val="004369DD"/>
    <w:rsid w:val="004443EC"/>
    <w:rsid w:val="004474C0"/>
    <w:rsid w:val="004737AA"/>
    <w:rsid w:val="004826E2"/>
    <w:rsid w:val="00482AB5"/>
    <w:rsid w:val="004835F5"/>
    <w:rsid w:val="00490A4D"/>
    <w:rsid w:val="004915EF"/>
    <w:rsid w:val="00493462"/>
    <w:rsid w:val="00496689"/>
    <w:rsid w:val="004A1735"/>
    <w:rsid w:val="004C21CA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82DF1"/>
    <w:rsid w:val="0059408C"/>
    <w:rsid w:val="00595E39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1AB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43CCA"/>
    <w:rsid w:val="00744741"/>
    <w:rsid w:val="00754D69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2603"/>
    <w:rsid w:val="00824F94"/>
    <w:rsid w:val="00825A47"/>
    <w:rsid w:val="008272C3"/>
    <w:rsid w:val="008362AC"/>
    <w:rsid w:val="00837834"/>
    <w:rsid w:val="008422C8"/>
    <w:rsid w:val="00853F1C"/>
    <w:rsid w:val="008659BF"/>
    <w:rsid w:val="0087136F"/>
    <w:rsid w:val="008802E6"/>
    <w:rsid w:val="0089237E"/>
    <w:rsid w:val="008A11DD"/>
    <w:rsid w:val="008A26DA"/>
    <w:rsid w:val="008B4E39"/>
    <w:rsid w:val="008B4FEB"/>
    <w:rsid w:val="008C2CA9"/>
    <w:rsid w:val="008C6FBF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76C"/>
    <w:rsid w:val="00997CD3"/>
    <w:rsid w:val="009A483B"/>
    <w:rsid w:val="009C2BDB"/>
    <w:rsid w:val="009E5691"/>
    <w:rsid w:val="009F1DAE"/>
    <w:rsid w:val="009F76A8"/>
    <w:rsid w:val="00A161BE"/>
    <w:rsid w:val="00A27C7C"/>
    <w:rsid w:val="00A35CAD"/>
    <w:rsid w:val="00A819D1"/>
    <w:rsid w:val="00AA21DD"/>
    <w:rsid w:val="00AC0FA6"/>
    <w:rsid w:val="00AD791F"/>
    <w:rsid w:val="00AF3F94"/>
    <w:rsid w:val="00B1700A"/>
    <w:rsid w:val="00B262AA"/>
    <w:rsid w:val="00B41D0B"/>
    <w:rsid w:val="00B61588"/>
    <w:rsid w:val="00B8327B"/>
    <w:rsid w:val="00BA6492"/>
    <w:rsid w:val="00BA73A0"/>
    <w:rsid w:val="00BC5C3B"/>
    <w:rsid w:val="00BD20AA"/>
    <w:rsid w:val="00BD33EC"/>
    <w:rsid w:val="00BE5998"/>
    <w:rsid w:val="00BF3686"/>
    <w:rsid w:val="00C06799"/>
    <w:rsid w:val="00C12EA0"/>
    <w:rsid w:val="00C13577"/>
    <w:rsid w:val="00C2716A"/>
    <w:rsid w:val="00C302E5"/>
    <w:rsid w:val="00C36AAE"/>
    <w:rsid w:val="00C6738D"/>
    <w:rsid w:val="00C709A1"/>
    <w:rsid w:val="00C71933"/>
    <w:rsid w:val="00C71982"/>
    <w:rsid w:val="00C72D33"/>
    <w:rsid w:val="00C94492"/>
    <w:rsid w:val="00C95E17"/>
    <w:rsid w:val="00CA0A92"/>
    <w:rsid w:val="00CA19FD"/>
    <w:rsid w:val="00CA7231"/>
    <w:rsid w:val="00CB37BB"/>
    <w:rsid w:val="00CE07BD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A09E1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2062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D5AF2"/>
    <w:rsid w:val="00FE2658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BodyText">
    <w:name w:val="Body Text"/>
    <w:basedOn w:val="Normal"/>
    <w:rsid w:val="00CA0A92"/>
    <w:pPr>
      <w:spacing w:after="120"/>
    </w:pPr>
  </w:style>
  <w:style w:type="paragraph" w:styleId="List">
    <w:name w:val="List"/>
    <w:basedOn w:val="BodyText"/>
    <w:rsid w:val="00CA0A92"/>
    <w:rPr>
      <w:rFonts w:cs="Tahoma"/>
    </w:rPr>
  </w:style>
  <w:style w:type="paragraph" w:styleId="Header">
    <w:name w:val="header"/>
    <w:basedOn w:val="Normal"/>
    <w:rsid w:val="00CA0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A92"/>
    <w:pPr>
      <w:tabs>
        <w:tab w:val="center" w:pos="4320"/>
        <w:tab w:val="right" w:pos="8640"/>
      </w:tabs>
    </w:pPr>
  </w:style>
  <w:style w:type="paragraph" w:customStyle="1" w:styleId="Caption1">
    <w:name w:val="Caption1"/>
    <w:basedOn w:val="Normal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A0A92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rsid w:val="0016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BodyText3Char">
    <w:name w:val="Body Text 3 Char"/>
    <w:basedOn w:val="DefaultParagraphFont"/>
    <w:link w:val="BodyText3"/>
    <w:rsid w:val="001C17AF"/>
    <w:rPr>
      <w:sz w:val="16"/>
      <w:szCs w:val="16"/>
    </w:rPr>
  </w:style>
  <w:style w:type="table" w:styleId="TableGrid">
    <w:name w:val="Table Grid"/>
    <w:basedOn w:val="TableNormal"/>
    <w:rsid w:val="0061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ckingteam.it/" TargetMode="External"/><Relationship Id="rId1" Type="http://schemas.openxmlformats.org/officeDocument/2006/relationships/hyperlink" Target="mailto:info@hackingte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2845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Simonetta</cp:lastModifiedBy>
  <cp:revision>2</cp:revision>
  <cp:lastPrinted>2013-01-10T14:48:00Z</cp:lastPrinted>
  <dcterms:created xsi:type="dcterms:W3CDTF">2014-05-29T10:04:00Z</dcterms:created>
  <dcterms:modified xsi:type="dcterms:W3CDTF">2014-05-29T10:04:00Z</dcterms:modified>
</cp:coreProperties>
</file>